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0" w:type="dxa"/>
        <w:tblBorders>
          <w:top w:val="nil"/>
          <w:left w:val="nil"/>
          <w:bottom w:val="nil"/>
          <w:right w:val="nil"/>
        </w:tblBorders>
        <w:tblLayout w:type="fixed"/>
        <w:tblLook w:val="0000" w:firstRow="0" w:lastRow="0" w:firstColumn="0" w:lastColumn="0" w:noHBand="0" w:noVBand="0"/>
      </w:tblPr>
      <w:tblGrid>
        <w:gridCol w:w="9360"/>
      </w:tblGrid>
      <w:tr w:rsidR="000D609B" w:rsidRPr="00193B95" w14:paraId="7C6553D5" w14:textId="77777777" w:rsidTr="00233700">
        <w:trPr>
          <w:trHeight w:val="242"/>
        </w:trPr>
        <w:tc>
          <w:tcPr>
            <w:tcW w:w="9360" w:type="dxa"/>
          </w:tcPr>
          <w:p w14:paraId="2BF78B5A" w14:textId="77777777" w:rsidR="00233700" w:rsidRPr="00233700" w:rsidRDefault="00233700" w:rsidP="00233700">
            <w:pPr>
              <w:widowControl w:val="0"/>
              <w:tabs>
                <w:tab w:val="left" w:pos="2235"/>
              </w:tabs>
              <w:autoSpaceDE w:val="0"/>
              <w:autoSpaceDN w:val="0"/>
              <w:spacing w:before="82" w:after="0" w:line="240" w:lineRule="auto"/>
              <w:ind w:left="-15"/>
              <w:outlineLvl w:val="0"/>
              <w:rPr>
                <w:rFonts w:ascii="Arial" w:eastAsia="Arial" w:hAnsi="Arial" w:cs="Arial"/>
                <w:b/>
                <w:bCs/>
                <w:sz w:val="24"/>
                <w:szCs w:val="24"/>
                <w:lang w:bidi="en-US"/>
              </w:rPr>
            </w:pPr>
            <w:r w:rsidRPr="00233700">
              <w:rPr>
                <w:rFonts w:ascii="Arial" w:eastAsia="Arial" w:hAnsi="Arial" w:cs="Arial"/>
                <w:b/>
                <w:bCs/>
                <w:sz w:val="24"/>
                <w:szCs w:val="24"/>
                <w:lang w:bidi="en-US"/>
              </w:rPr>
              <w:t>DIN:</w:t>
            </w:r>
            <w:r w:rsidRPr="00233700">
              <w:rPr>
                <w:rFonts w:ascii="Arial" w:eastAsia="Arial" w:hAnsi="Arial" w:cs="Arial"/>
                <w:b/>
                <w:bCs/>
                <w:sz w:val="24"/>
                <w:szCs w:val="24"/>
                <w:lang w:bidi="en-US"/>
              </w:rPr>
              <w:tab/>
              <w:t>7###-#-## (TBD)</w:t>
            </w:r>
          </w:p>
          <w:p w14:paraId="52A9B6F6" w14:textId="5E6C3B19" w:rsidR="00233700" w:rsidRPr="00233700" w:rsidRDefault="00233700" w:rsidP="00233700">
            <w:pPr>
              <w:spacing w:before="5"/>
              <w:ind w:left="-15" w:right="-735"/>
              <w:rPr>
                <w:rFonts w:ascii="Arial" w:hAnsi="Arial" w:cs="Arial"/>
                <w:b/>
                <w:sz w:val="24"/>
              </w:rPr>
            </w:pPr>
            <w:r w:rsidRPr="00233700">
              <w:rPr>
                <w:rFonts w:ascii="Arial" w:hAnsi="Arial" w:cs="Arial"/>
                <w:b/>
                <w:sz w:val="24"/>
              </w:rPr>
              <w:t>Name of</w:t>
            </w:r>
            <w:r w:rsidRPr="00233700">
              <w:rPr>
                <w:rFonts w:ascii="Arial" w:hAnsi="Arial" w:cs="Arial"/>
                <w:b/>
                <w:spacing w:val="-4"/>
                <w:sz w:val="24"/>
              </w:rPr>
              <w:t xml:space="preserve"> </w:t>
            </w:r>
            <w:r w:rsidRPr="00233700">
              <w:rPr>
                <w:rFonts w:ascii="Arial" w:hAnsi="Arial" w:cs="Arial"/>
                <w:b/>
                <w:sz w:val="24"/>
              </w:rPr>
              <w:t>Process:</w:t>
            </w:r>
            <w:r w:rsidRPr="00233700">
              <w:rPr>
                <w:rFonts w:ascii="Arial" w:hAnsi="Arial" w:cs="Arial"/>
                <w:b/>
                <w:sz w:val="24"/>
              </w:rPr>
              <w:tab/>
            </w:r>
            <w:r>
              <w:rPr>
                <w:rFonts w:ascii="Arial" w:hAnsi="Arial" w:cs="Arial"/>
                <w:b/>
                <w:sz w:val="24"/>
              </w:rPr>
              <w:t xml:space="preserve"> Sub-recipient Monitoring</w:t>
            </w:r>
            <w:r w:rsidRPr="00233700">
              <w:rPr>
                <w:rFonts w:ascii="Arial" w:hAnsi="Arial" w:cs="Arial"/>
                <w:b/>
                <w:sz w:val="24"/>
              </w:rPr>
              <w:t xml:space="preserve"> for Grants &amp; Sponsored </w:t>
            </w:r>
            <w:r>
              <w:rPr>
                <w:rFonts w:ascii="Arial" w:hAnsi="Arial" w:cs="Arial"/>
                <w:b/>
                <w:sz w:val="24"/>
              </w:rPr>
              <w:t>P</w:t>
            </w:r>
            <w:r w:rsidRPr="00233700">
              <w:rPr>
                <w:rFonts w:ascii="Arial" w:hAnsi="Arial" w:cs="Arial"/>
                <w:b/>
                <w:sz w:val="24"/>
              </w:rPr>
              <w:t>rograms</w:t>
            </w:r>
          </w:p>
          <w:p w14:paraId="76E64EAE" w14:textId="1AA1D430" w:rsidR="000D609B" w:rsidRPr="00193B95" w:rsidRDefault="000D609B" w:rsidP="00233700">
            <w:pPr>
              <w:pStyle w:val="Default"/>
              <w:rPr>
                <w:rFonts w:ascii="Arial" w:hAnsi="Arial" w:cs="Arial"/>
                <w:sz w:val="22"/>
                <w:szCs w:val="22"/>
              </w:rPr>
            </w:pPr>
          </w:p>
        </w:tc>
      </w:tr>
    </w:tbl>
    <w:p w14:paraId="09A08E54" w14:textId="77777777" w:rsidR="00193B95" w:rsidRPr="00193B95" w:rsidRDefault="000D609B" w:rsidP="000D609B">
      <w:pPr>
        <w:pStyle w:val="Default"/>
        <w:rPr>
          <w:rFonts w:ascii="Arial" w:hAnsi="Arial" w:cs="Arial"/>
          <w:b/>
          <w:bCs/>
          <w:sz w:val="22"/>
          <w:szCs w:val="22"/>
          <w:u w:val="single"/>
        </w:rPr>
      </w:pPr>
      <w:r w:rsidRPr="00193B95">
        <w:rPr>
          <w:rFonts w:ascii="Arial" w:hAnsi="Arial" w:cs="Arial"/>
          <w:b/>
          <w:bCs/>
          <w:sz w:val="22"/>
          <w:szCs w:val="22"/>
          <w:u w:val="single"/>
        </w:rPr>
        <w:t xml:space="preserve">Policy </w:t>
      </w:r>
      <w:r w:rsidR="00815A92" w:rsidRPr="00193B95">
        <w:rPr>
          <w:rFonts w:ascii="Arial" w:hAnsi="Arial" w:cs="Arial"/>
          <w:b/>
          <w:bCs/>
          <w:sz w:val="22"/>
          <w:szCs w:val="22"/>
          <w:u w:val="single"/>
        </w:rPr>
        <w:t>Statement</w:t>
      </w:r>
    </w:p>
    <w:p w14:paraId="0BB5BE18" w14:textId="26E711BF" w:rsidR="005579CE" w:rsidRPr="00193B95" w:rsidRDefault="00EA6719" w:rsidP="000D609B">
      <w:pPr>
        <w:pStyle w:val="Default"/>
        <w:rPr>
          <w:rFonts w:ascii="Arial" w:hAnsi="Arial" w:cs="Arial"/>
          <w:bCs/>
          <w:sz w:val="22"/>
          <w:szCs w:val="22"/>
        </w:rPr>
      </w:pPr>
      <w:r w:rsidRPr="00193B95">
        <w:rPr>
          <w:rFonts w:ascii="Arial" w:hAnsi="Arial" w:cs="Arial"/>
          <w:bCs/>
          <w:sz w:val="22"/>
          <w:szCs w:val="22"/>
        </w:rPr>
        <w:t xml:space="preserve">The </w:t>
      </w:r>
      <w:r w:rsidR="00CF2101" w:rsidRPr="00193B95">
        <w:rPr>
          <w:rFonts w:ascii="Arial" w:hAnsi="Arial" w:cs="Arial"/>
          <w:bCs/>
          <w:sz w:val="22"/>
          <w:szCs w:val="22"/>
        </w:rPr>
        <w:t>Sub-recipient</w:t>
      </w:r>
      <w:r w:rsidR="00016567" w:rsidRPr="00193B95">
        <w:rPr>
          <w:rFonts w:ascii="Arial" w:hAnsi="Arial" w:cs="Arial"/>
          <w:bCs/>
          <w:sz w:val="22"/>
          <w:szCs w:val="22"/>
        </w:rPr>
        <w:t xml:space="preserve"> Monitoring Policy was </w:t>
      </w:r>
      <w:r w:rsidRPr="00193B95">
        <w:rPr>
          <w:rFonts w:ascii="Arial" w:hAnsi="Arial" w:cs="Arial"/>
          <w:bCs/>
          <w:sz w:val="22"/>
          <w:szCs w:val="22"/>
        </w:rPr>
        <w:t>enacted to ensur</w:t>
      </w:r>
      <w:r w:rsidR="00F62A3F" w:rsidRPr="00193B95">
        <w:rPr>
          <w:rFonts w:ascii="Arial" w:hAnsi="Arial" w:cs="Arial"/>
          <w:bCs/>
          <w:sz w:val="22"/>
          <w:szCs w:val="22"/>
        </w:rPr>
        <w:t xml:space="preserve">e that </w:t>
      </w:r>
      <w:r w:rsidR="00710600" w:rsidRPr="00193B95">
        <w:rPr>
          <w:rFonts w:ascii="Arial" w:hAnsi="Arial" w:cs="Arial"/>
          <w:bCs/>
          <w:sz w:val="22"/>
          <w:szCs w:val="22"/>
        </w:rPr>
        <w:t>Northwest Technical College</w:t>
      </w:r>
      <w:r w:rsidRPr="00193B95">
        <w:rPr>
          <w:rFonts w:ascii="Arial" w:hAnsi="Arial" w:cs="Arial"/>
          <w:bCs/>
          <w:sz w:val="22"/>
          <w:szCs w:val="22"/>
        </w:rPr>
        <w:t xml:space="preserve"> </w:t>
      </w:r>
      <w:r w:rsidR="00016567" w:rsidRPr="00193B95">
        <w:rPr>
          <w:rFonts w:ascii="Arial" w:hAnsi="Arial" w:cs="Arial"/>
          <w:bCs/>
          <w:sz w:val="22"/>
          <w:szCs w:val="22"/>
        </w:rPr>
        <w:t xml:space="preserve">comply with </w:t>
      </w:r>
      <w:r w:rsidRPr="00193B95">
        <w:rPr>
          <w:rFonts w:ascii="Arial" w:hAnsi="Arial" w:cs="Arial"/>
          <w:bCs/>
          <w:sz w:val="22"/>
          <w:szCs w:val="22"/>
        </w:rPr>
        <w:t xml:space="preserve">the Federal </w:t>
      </w:r>
      <w:r w:rsidR="00016567" w:rsidRPr="00193B95">
        <w:rPr>
          <w:rFonts w:ascii="Arial" w:hAnsi="Arial" w:cs="Arial"/>
          <w:bCs/>
          <w:sz w:val="22"/>
          <w:szCs w:val="22"/>
        </w:rPr>
        <w:t>laws and regulations</w:t>
      </w:r>
      <w:r w:rsidRPr="00193B95">
        <w:rPr>
          <w:rFonts w:ascii="Arial" w:hAnsi="Arial" w:cs="Arial"/>
          <w:bCs/>
          <w:sz w:val="22"/>
          <w:szCs w:val="22"/>
        </w:rPr>
        <w:t xml:space="preserve"> </w:t>
      </w:r>
      <w:r w:rsidR="006317FD" w:rsidRPr="00193B95">
        <w:rPr>
          <w:rFonts w:ascii="Arial" w:hAnsi="Arial" w:cs="Arial"/>
          <w:bCs/>
          <w:sz w:val="22"/>
          <w:szCs w:val="22"/>
        </w:rPr>
        <w:t xml:space="preserve">and the provisions of the agreement concerning </w:t>
      </w:r>
      <w:r w:rsidR="00CF2101" w:rsidRPr="00193B95">
        <w:rPr>
          <w:rFonts w:ascii="Arial" w:hAnsi="Arial" w:cs="Arial"/>
          <w:bCs/>
          <w:sz w:val="22"/>
          <w:szCs w:val="22"/>
        </w:rPr>
        <w:t>sub-recipient</w:t>
      </w:r>
      <w:r w:rsidR="006317FD" w:rsidRPr="00193B95">
        <w:rPr>
          <w:rFonts w:ascii="Arial" w:hAnsi="Arial" w:cs="Arial"/>
          <w:bCs/>
          <w:sz w:val="22"/>
          <w:szCs w:val="22"/>
        </w:rPr>
        <w:t>s on any</w:t>
      </w:r>
      <w:r w:rsidRPr="00193B95">
        <w:rPr>
          <w:rFonts w:ascii="Arial" w:hAnsi="Arial" w:cs="Arial"/>
          <w:bCs/>
          <w:sz w:val="22"/>
          <w:szCs w:val="22"/>
        </w:rPr>
        <w:t xml:space="preserve"> Federal awards.</w:t>
      </w:r>
      <w:r w:rsidR="005579CE" w:rsidRPr="00193B95">
        <w:rPr>
          <w:rFonts w:ascii="Arial" w:hAnsi="Arial" w:cs="Arial"/>
          <w:bCs/>
          <w:sz w:val="22"/>
          <w:szCs w:val="22"/>
        </w:rPr>
        <w:t xml:space="preserve"> </w:t>
      </w:r>
    </w:p>
    <w:p w14:paraId="564A612E" w14:textId="77777777" w:rsidR="005579CE" w:rsidRPr="00193B95" w:rsidRDefault="005579CE" w:rsidP="000D609B">
      <w:pPr>
        <w:pStyle w:val="Default"/>
        <w:rPr>
          <w:rFonts w:ascii="Arial" w:hAnsi="Arial" w:cs="Arial"/>
          <w:bCs/>
          <w:sz w:val="22"/>
          <w:szCs w:val="22"/>
        </w:rPr>
      </w:pPr>
    </w:p>
    <w:p w14:paraId="274EFBC7" w14:textId="1C1DC1A9" w:rsidR="00193B95" w:rsidRPr="00193B95" w:rsidRDefault="005579CE" w:rsidP="000D609B">
      <w:pPr>
        <w:pStyle w:val="Default"/>
        <w:rPr>
          <w:rFonts w:ascii="Arial" w:hAnsi="Arial" w:cs="Arial"/>
          <w:bCs/>
          <w:color w:val="auto"/>
          <w:sz w:val="22"/>
          <w:szCs w:val="22"/>
          <w:u w:val="single"/>
        </w:rPr>
      </w:pPr>
      <w:r w:rsidRPr="00193B95">
        <w:rPr>
          <w:rFonts w:ascii="Arial" w:hAnsi="Arial" w:cs="Arial"/>
          <w:b/>
          <w:bCs/>
          <w:color w:val="auto"/>
          <w:sz w:val="22"/>
          <w:szCs w:val="22"/>
          <w:u w:val="single"/>
        </w:rPr>
        <w:t>Background</w:t>
      </w:r>
      <w:r w:rsidRPr="00193B95">
        <w:rPr>
          <w:rFonts w:ascii="Arial" w:hAnsi="Arial" w:cs="Arial"/>
          <w:bCs/>
          <w:color w:val="auto"/>
          <w:sz w:val="22"/>
          <w:szCs w:val="22"/>
          <w:u w:val="single"/>
        </w:rPr>
        <w:t xml:space="preserve"> </w:t>
      </w:r>
    </w:p>
    <w:p w14:paraId="7E7EFFF8" w14:textId="755A612D" w:rsidR="000D609B" w:rsidRPr="00193B95" w:rsidRDefault="005579CE" w:rsidP="000D609B">
      <w:pPr>
        <w:pStyle w:val="Default"/>
        <w:rPr>
          <w:rFonts w:ascii="Arial" w:hAnsi="Arial" w:cs="Arial"/>
          <w:b/>
          <w:bCs/>
          <w:color w:val="auto"/>
          <w:sz w:val="22"/>
          <w:szCs w:val="22"/>
        </w:rPr>
      </w:pPr>
      <w:r w:rsidRPr="00193B95">
        <w:rPr>
          <w:rFonts w:ascii="Arial" w:hAnsi="Arial" w:cs="Arial"/>
          <w:color w:val="auto"/>
          <w:sz w:val="22"/>
          <w:szCs w:val="22"/>
          <w:shd w:val="clear" w:color="auto" w:fill="FFFFFF"/>
        </w:rPr>
        <w:t>The Office of Management and Budget (OMB) Uniform Administrative Requirements, Cost Principles, and Audit Requirements for Federal Awards, Final Rule, 2 CFR 200,  Dec. 26, 2014, ("Uniform Guidance") sets forth standards for obtaining consistency and uniformity in organizations expending Federal awards. In instances where the award recipient subcontracts with another organization to perform duties required or necessitated by the research award, the award recipient is considered to be a </w:t>
      </w:r>
      <w:r w:rsidRPr="00193B95">
        <w:rPr>
          <w:rStyle w:val="Emphasis"/>
          <w:rFonts w:ascii="Arial" w:hAnsi="Arial" w:cs="Arial"/>
          <w:color w:val="auto"/>
          <w:sz w:val="22"/>
          <w:szCs w:val="22"/>
          <w:shd w:val="clear" w:color="auto" w:fill="FFFFFF"/>
        </w:rPr>
        <w:t>pass-through entity. </w:t>
      </w:r>
      <w:r w:rsidRPr="00193B95">
        <w:rPr>
          <w:rFonts w:ascii="Arial" w:hAnsi="Arial" w:cs="Arial"/>
          <w:color w:val="auto"/>
          <w:sz w:val="22"/>
          <w:szCs w:val="22"/>
          <w:shd w:val="clear" w:color="auto" w:fill="FFFFFF"/>
        </w:rPr>
        <w:t>As a pass-through entity, the award recipient has monitoring obligations to ensure that the  uses the award for authorized purposes and that the goals of the award are achieved.</w:t>
      </w:r>
    </w:p>
    <w:p w14:paraId="692EBA43" w14:textId="77777777" w:rsidR="00815A92" w:rsidRPr="00193B95" w:rsidRDefault="00815A92" w:rsidP="000D609B">
      <w:pPr>
        <w:pStyle w:val="Default"/>
        <w:rPr>
          <w:rFonts w:ascii="Arial" w:hAnsi="Arial" w:cs="Arial"/>
          <w:b/>
          <w:bCs/>
          <w:sz w:val="22"/>
          <w:szCs w:val="22"/>
        </w:rPr>
      </w:pPr>
    </w:p>
    <w:p w14:paraId="3C71E2C5" w14:textId="77777777" w:rsidR="00193B95" w:rsidRPr="00193B95" w:rsidRDefault="00815A92" w:rsidP="00193B95">
      <w:pPr>
        <w:spacing w:after="0"/>
        <w:rPr>
          <w:rFonts w:ascii="Arial" w:hAnsi="Arial" w:cs="Arial"/>
          <w:b/>
          <w:bCs/>
          <w:u w:val="single"/>
        </w:rPr>
      </w:pPr>
      <w:r w:rsidRPr="00193B95">
        <w:rPr>
          <w:rFonts w:ascii="Arial" w:hAnsi="Arial" w:cs="Arial"/>
          <w:b/>
          <w:bCs/>
          <w:u w:val="single"/>
        </w:rPr>
        <w:t>Purpose</w:t>
      </w:r>
    </w:p>
    <w:p w14:paraId="40AC8F35" w14:textId="5D55B79D" w:rsidR="00B77562" w:rsidRPr="00193B95" w:rsidRDefault="00710600" w:rsidP="00B77562">
      <w:pPr>
        <w:rPr>
          <w:rFonts w:ascii="Arial" w:hAnsi="Arial" w:cs="Arial"/>
        </w:rPr>
      </w:pPr>
      <w:r w:rsidRPr="00193B95">
        <w:rPr>
          <w:rFonts w:ascii="Arial" w:hAnsi="Arial" w:cs="Arial"/>
          <w:lang w:val="en"/>
        </w:rPr>
        <w:t>Northwest Technical College</w:t>
      </w:r>
      <w:r w:rsidR="000B7384" w:rsidRPr="00193B95">
        <w:rPr>
          <w:rFonts w:ascii="Arial" w:hAnsi="Arial" w:cs="Arial"/>
          <w:lang w:val="en"/>
        </w:rPr>
        <w:t xml:space="preserve"> is</w:t>
      </w:r>
      <w:r w:rsidR="006317FD" w:rsidRPr="00193B95">
        <w:rPr>
          <w:rFonts w:ascii="Arial" w:hAnsi="Arial" w:cs="Arial"/>
          <w:lang w:val="en"/>
        </w:rPr>
        <w:t xml:space="preserve"> responsible for monitoring the programmatic and financial activities of its </w:t>
      </w:r>
      <w:r w:rsidR="00CF2101" w:rsidRPr="00193B95">
        <w:rPr>
          <w:rFonts w:ascii="Arial" w:hAnsi="Arial" w:cs="Arial"/>
          <w:lang w:val="en"/>
        </w:rPr>
        <w:t>sub-recipient</w:t>
      </w:r>
      <w:r w:rsidR="006317FD" w:rsidRPr="00193B95">
        <w:rPr>
          <w:rFonts w:ascii="Arial" w:hAnsi="Arial" w:cs="Arial"/>
          <w:lang w:val="en"/>
        </w:rPr>
        <w:t xml:space="preserve">s in order to ensure proper stewardship of sponsor funds. This policy addresses institutional responsibilities and assists Principal Investigators (PI) and staff to ensure that, in addition to achieving performance goals, </w:t>
      </w:r>
      <w:r w:rsidR="00CF2101" w:rsidRPr="00193B95">
        <w:rPr>
          <w:rFonts w:ascii="Arial" w:hAnsi="Arial" w:cs="Arial"/>
          <w:lang w:val="en"/>
        </w:rPr>
        <w:t>sub-recipient</w:t>
      </w:r>
      <w:r w:rsidR="006317FD" w:rsidRPr="00193B95">
        <w:rPr>
          <w:rFonts w:ascii="Arial" w:hAnsi="Arial" w:cs="Arial"/>
          <w:lang w:val="en"/>
        </w:rPr>
        <w:t xml:space="preserve">s comply with Federal laws and regulations and with the provisions of any agreements that govern the </w:t>
      </w:r>
      <w:r w:rsidR="00CF2101" w:rsidRPr="00193B95">
        <w:rPr>
          <w:rFonts w:ascii="Arial" w:hAnsi="Arial" w:cs="Arial"/>
          <w:lang w:val="en"/>
        </w:rPr>
        <w:t>sub-award</w:t>
      </w:r>
      <w:r w:rsidR="006317FD" w:rsidRPr="00193B95">
        <w:rPr>
          <w:rFonts w:ascii="Arial" w:hAnsi="Arial" w:cs="Arial"/>
          <w:lang w:val="en"/>
        </w:rPr>
        <w:t>. </w:t>
      </w:r>
      <w:r w:rsidR="00B77562" w:rsidRPr="00193B95">
        <w:rPr>
          <w:rFonts w:ascii="Arial" w:hAnsi="Arial" w:cs="Arial"/>
          <w:shd w:val="clear" w:color="auto" w:fill="FFFFFF"/>
        </w:rPr>
        <w:t>For the purpose of this “</w:t>
      </w:r>
      <w:r w:rsidR="00CF2101" w:rsidRPr="00193B95">
        <w:rPr>
          <w:rFonts w:ascii="Arial" w:hAnsi="Arial" w:cs="Arial"/>
          <w:shd w:val="clear" w:color="auto" w:fill="FFFFFF"/>
        </w:rPr>
        <w:t>Sub-recipient</w:t>
      </w:r>
      <w:r w:rsidR="00B77562" w:rsidRPr="00193B95">
        <w:rPr>
          <w:rFonts w:ascii="Arial" w:hAnsi="Arial" w:cs="Arial"/>
          <w:shd w:val="clear" w:color="auto" w:fill="FFFFFF"/>
        </w:rPr>
        <w:t xml:space="preserve"> Monitoring Policy”, the records of </w:t>
      </w:r>
      <w:r w:rsidRPr="00193B95">
        <w:rPr>
          <w:rFonts w:ascii="Arial" w:hAnsi="Arial" w:cs="Arial"/>
          <w:shd w:val="clear" w:color="auto" w:fill="FFFFFF"/>
        </w:rPr>
        <w:t>Northwest Technical College</w:t>
      </w:r>
      <w:r w:rsidR="00B77562" w:rsidRPr="00193B95">
        <w:rPr>
          <w:rFonts w:ascii="Arial" w:hAnsi="Arial" w:cs="Arial"/>
          <w:shd w:val="clear" w:color="auto" w:fill="FFFFFF"/>
        </w:rPr>
        <w:t xml:space="preserve"> </w:t>
      </w:r>
      <w:r w:rsidR="000B7384" w:rsidRPr="00193B95">
        <w:rPr>
          <w:rFonts w:ascii="Arial" w:hAnsi="Arial" w:cs="Arial"/>
          <w:shd w:val="clear" w:color="auto" w:fill="FFFFFF"/>
        </w:rPr>
        <w:t xml:space="preserve">are </w:t>
      </w:r>
      <w:r w:rsidR="00B77562" w:rsidRPr="00193B95">
        <w:rPr>
          <w:rFonts w:ascii="Arial" w:hAnsi="Arial" w:cs="Arial"/>
          <w:shd w:val="clear" w:color="auto" w:fill="FFFFFF"/>
        </w:rPr>
        <w:t xml:space="preserve">referred to within this document as the </w:t>
      </w:r>
      <w:r w:rsidRPr="00193B95">
        <w:rPr>
          <w:rFonts w:ascii="Arial" w:hAnsi="Arial" w:cs="Arial"/>
          <w:shd w:val="clear" w:color="auto" w:fill="FFFFFF"/>
        </w:rPr>
        <w:t>College</w:t>
      </w:r>
      <w:r w:rsidR="00B77562" w:rsidRPr="00193B95">
        <w:rPr>
          <w:rFonts w:ascii="Arial" w:hAnsi="Arial" w:cs="Arial"/>
          <w:shd w:val="clear" w:color="auto" w:fill="FFFFFF"/>
        </w:rPr>
        <w:t xml:space="preserve"> unless specifically noted.</w:t>
      </w:r>
    </w:p>
    <w:p w14:paraId="36FEA930" w14:textId="77777777" w:rsidR="00B91E35" w:rsidRPr="00193B95" w:rsidRDefault="00B91E35" w:rsidP="000D609B">
      <w:pPr>
        <w:pStyle w:val="Default"/>
        <w:rPr>
          <w:rFonts w:ascii="Arial" w:hAnsi="Arial" w:cs="Arial"/>
          <w:b/>
          <w:sz w:val="22"/>
          <w:szCs w:val="22"/>
        </w:rPr>
      </w:pPr>
    </w:p>
    <w:p w14:paraId="335A1E39" w14:textId="07949208" w:rsidR="002A6D85" w:rsidRPr="00193B95" w:rsidRDefault="000D609B" w:rsidP="00193B95">
      <w:pPr>
        <w:pStyle w:val="Default"/>
        <w:spacing w:after="240"/>
        <w:rPr>
          <w:rFonts w:ascii="Arial" w:hAnsi="Arial" w:cs="Arial"/>
          <w:b/>
          <w:sz w:val="22"/>
          <w:szCs w:val="22"/>
          <w:u w:val="single"/>
        </w:rPr>
      </w:pPr>
      <w:r w:rsidRPr="00193B95">
        <w:rPr>
          <w:rFonts w:ascii="Arial" w:hAnsi="Arial" w:cs="Arial"/>
          <w:b/>
          <w:sz w:val="22"/>
          <w:szCs w:val="22"/>
          <w:u w:val="single"/>
        </w:rPr>
        <w:t xml:space="preserve">Definitions </w:t>
      </w:r>
    </w:p>
    <w:p w14:paraId="23464980" w14:textId="77777777" w:rsidR="002A6D85" w:rsidRPr="00193B95" w:rsidRDefault="00CF2101" w:rsidP="000D609B">
      <w:pPr>
        <w:pStyle w:val="Default"/>
        <w:rPr>
          <w:rFonts w:ascii="Arial" w:eastAsia="Times New Roman" w:hAnsi="Arial" w:cs="Arial"/>
          <w:sz w:val="22"/>
          <w:szCs w:val="22"/>
          <w:lang w:val="en"/>
        </w:rPr>
      </w:pPr>
      <w:r w:rsidRPr="00193B95">
        <w:rPr>
          <w:rFonts w:ascii="Arial" w:hAnsi="Arial" w:cs="Arial"/>
          <w:b/>
          <w:bCs/>
          <w:sz w:val="22"/>
          <w:szCs w:val="22"/>
        </w:rPr>
        <w:t>Sub-recipient</w:t>
      </w:r>
      <w:r w:rsidR="006317FD" w:rsidRPr="00193B95">
        <w:rPr>
          <w:rFonts w:ascii="Arial" w:hAnsi="Arial" w:cs="Arial"/>
          <w:b/>
          <w:bCs/>
          <w:sz w:val="22"/>
          <w:szCs w:val="22"/>
        </w:rPr>
        <w:t>:</w:t>
      </w:r>
      <w:r w:rsidR="006317FD" w:rsidRPr="00193B95">
        <w:rPr>
          <w:rFonts w:ascii="Arial" w:hAnsi="Arial" w:cs="Arial"/>
          <w:sz w:val="22"/>
          <w:szCs w:val="22"/>
        </w:rPr>
        <w:t xml:space="preserve"> a person or agency that has </w:t>
      </w:r>
      <w:r w:rsidR="006317FD" w:rsidRPr="00193B95">
        <w:rPr>
          <w:rFonts w:ascii="Arial" w:eastAsia="Times New Roman" w:hAnsi="Arial" w:cs="Arial"/>
          <w:sz w:val="22"/>
          <w:szCs w:val="22"/>
          <w:lang w:val="en"/>
        </w:rPr>
        <w:t>programmatic decision-making responsibilities for performance in carrying out a portion of the research or project.</w:t>
      </w:r>
    </w:p>
    <w:p w14:paraId="5A7E7057" w14:textId="77777777" w:rsidR="00F440ED" w:rsidRPr="00193B95" w:rsidRDefault="00F440ED" w:rsidP="000D609B">
      <w:pPr>
        <w:pStyle w:val="Default"/>
        <w:rPr>
          <w:rFonts w:ascii="Arial" w:hAnsi="Arial" w:cs="Arial"/>
          <w:sz w:val="22"/>
          <w:szCs w:val="22"/>
        </w:rPr>
      </w:pPr>
    </w:p>
    <w:p w14:paraId="3FA8A654" w14:textId="77777777" w:rsidR="00F440ED" w:rsidRPr="00193B95" w:rsidRDefault="00F440ED" w:rsidP="00F440ED">
      <w:pPr>
        <w:pStyle w:val="NoSpacing"/>
        <w:rPr>
          <w:rFonts w:ascii="Arial" w:hAnsi="Arial" w:cs="Arial"/>
          <w:lang w:val="en"/>
        </w:rPr>
      </w:pPr>
      <w:r w:rsidRPr="00193B95">
        <w:rPr>
          <w:rFonts w:ascii="Arial" w:hAnsi="Arial" w:cs="Arial"/>
          <w:b/>
          <w:bCs/>
        </w:rPr>
        <w:t xml:space="preserve">Principal Investigator (PI): </w:t>
      </w:r>
      <w:r w:rsidR="00833B64" w:rsidRPr="00193B95">
        <w:rPr>
          <w:rFonts w:ascii="Arial" w:hAnsi="Arial" w:cs="Arial"/>
        </w:rPr>
        <w:t xml:space="preserve"> </w:t>
      </w:r>
      <w:r w:rsidRPr="00193B95">
        <w:rPr>
          <w:rFonts w:ascii="Arial" w:hAnsi="Arial" w:cs="Arial"/>
        </w:rPr>
        <w:t xml:space="preserve">a person with </w:t>
      </w:r>
      <w:r w:rsidRPr="00193B95">
        <w:rPr>
          <w:rFonts w:ascii="Arial" w:hAnsi="Arial" w:cs="Arial"/>
          <w:lang w:val="en"/>
        </w:rPr>
        <w:t xml:space="preserve">the primary responsibility for monitoring </w:t>
      </w:r>
      <w:r w:rsidR="00CF2101" w:rsidRPr="00193B95">
        <w:rPr>
          <w:rFonts w:ascii="Arial" w:hAnsi="Arial" w:cs="Arial"/>
          <w:lang w:val="en"/>
        </w:rPr>
        <w:t>sub-recipient</w:t>
      </w:r>
      <w:r w:rsidRPr="00193B95">
        <w:rPr>
          <w:rFonts w:ascii="Arial" w:hAnsi="Arial" w:cs="Arial"/>
          <w:lang w:val="en"/>
        </w:rPr>
        <w:t xml:space="preserve">s’ progress, and ensuring compliance with Federal regulations and both prime and </w:t>
      </w:r>
      <w:r w:rsidR="00CF2101" w:rsidRPr="00193B95">
        <w:rPr>
          <w:rFonts w:ascii="Arial" w:hAnsi="Arial" w:cs="Arial"/>
          <w:lang w:val="en"/>
        </w:rPr>
        <w:t>sub-recipient</w:t>
      </w:r>
      <w:r w:rsidRPr="00193B95">
        <w:rPr>
          <w:rFonts w:ascii="Arial" w:hAnsi="Arial" w:cs="Arial"/>
          <w:lang w:val="en"/>
        </w:rPr>
        <w:t xml:space="preserve"> award terms and conditions. </w:t>
      </w:r>
    </w:p>
    <w:p w14:paraId="4401AD7F" w14:textId="77777777" w:rsidR="00B91E35" w:rsidRPr="00193B95" w:rsidRDefault="00B91E35" w:rsidP="00F440ED">
      <w:pPr>
        <w:spacing w:after="120" w:line="360" w:lineRule="auto"/>
        <w:outlineLvl w:val="2"/>
        <w:rPr>
          <w:rFonts w:ascii="Arial" w:hAnsi="Arial" w:cs="Arial"/>
          <w:b/>
          <w:bCs/>
        </w:rPr>
      </w:pPr>
    </w:p>
    <w:p w14:paraId="0F69B7D5" w14:textId="46D39127" w:rsidR="00F440ED" w:rsidRPr="00193B95" w:rsidRDefault="00EA6719" w:rsidP="00193B95">
      <w:pPr>
        <w:spacing w:after="0" w:line="360" w:lineRule="auto"/>
        <w:outlineLvl w:val="2"/>
        <w:rPr>
          <w:rFonts w:ascii="Arial" w:hAnsi="Arial" w:cs="Arial"/>
          <w:b/>
          <w:bCs/>
          <w:u w:val="single"/>
        </w:rPr>
      </w:pPr>
      <w:r w:rsidRPr="00193B95">
        <w:rPr>
          <w:rFonts w:ascii="Arial" w:hAnsi="Arial" w:cs="Arial"/>
          <w:b/>
          <w:bCs/>
          <w:u w:val="single"/>
        </w:rPr>
        <w:t xml:space="preserve">Procedures </w:t>
      </w:r>
    </w:p>
    <w:p w14:paraId="65BE1FEC" w14:textId="77777777" w:rsidR="00F440ED" w:rsidRPr="00193B95" w:rsidRDefault="00F440ED" w:rsidP="00F440ED">
      <w:pPr>
        <w:pStyle w:val="NoSpacing"/>
        <w:rPr>
          <w:rFonts w:ascii="Arial" w:hAnsi="Arial" w:cs="Arial"/>
          <w:b/>
          <w:lang w:val="en"/>
        </w:rPr>
      </w:pPr>
      <w:r w:rsidRPr="00193B95">
        <w:rPr>
          <w:rFonts w:ascii="Arial" w:hAnsi="Arial" w:cs="Arial"/>
          <w:b/>
          <w:lang w:val="en"/>
        </w:rPr>
        <w:t>Roles and Responsibilities</w:t>
      </w:r>
    </w:p>
    <w:p w14:paraId="49DB8DC1" w14:textId="77777777" w:rsidR="00F440ED" w:rsidRPr="00193B95" w:rsidRDefault="00710600" w:rsidP="00F440ED">
      <w:pPr>
        <w:pStyle w:val="NoSpacing"/>
        <w:rPr>
          <w:rFonts w:ascii="Arial" w:hAnsi="Arial" w:cs="Arial"/>
          <w:lang w:val="en"/>
        </w:rPr>
      </w:pPr>
      <w:r w:rsidRPr="00193B95">
        <w:rPr>
          <w:rFonts w:ascii="Arial" w:hAnsi="Arial" w:cs="Arial"/>
          <w:lang w:val="en"/>
        </w:rPr>
        <w:t>Northwest Technical College</w:t>
      </w:r>
      <w:r w:rsidR="00D944A0" w:rsidRPr="00193B95">
        <w:rPr>
          <w:rFonts w:ascii="Arial" w:hAnsi="Arial" w:cs="Arial"/>
          <w:lang w:val="en"/>
        </w:rPr>
        <w:t xml:space="preserve"> </w:t>
      </w:r>
      <w:r w:rsidR="00F440ED" w:rsidRPr="00193B95">
        <w:rPr>
          <w:rFonts w:ascii="Arial" w:hAnsi="Arial" w:cs="Arial"/>
          <w:lang w:val="en"/>
        </w:rPr>
        <w:t xml:space="preserve">must ensure that its </w:t>
      </w:r>
      <w:r w:rsidR="00CF2101" w:rsidRPr="00193B95">
        <w:rPr>
          <w:rFonts w:ascii="Arial" w:hAnsi="Arial" w:cs="Arial"/>
          <w:lang w:val="en"/>
        </w:rPr>
        <w:t>sub-recipient</w:t>
      </w:r>
      <w:r w:rsidR="00F440ED" w:rsidRPr="00193B95">
        <w:rPr>
          <w:rFonts w:ascii="Arial" w:hAnsi="Arial" w:cs="Arial"/>
          <w:lang w:val="en"/>
        </w:rPr>
        <w:t xml:space="preserve">s comply with the Uniform Guidance administrative requirements, cost principles and audit requirements. The </w:t>
      </w:r>
      <w:r w:rsidRPr="00193B95">
        <w:rPr>
          <w:rFonts w:ascii="Arial" w:hAnsi="Arial" w:cs="Arial"/>
          <w:lang w:val="en"/>
        </w:rPr>
        <w:t>College</w:t>
      </w:r>
      <w:r w:rsidR="00F440ED" w:rsidRPr="00193B95">
        <w:rPr>
          <w:rFonts w:ascii="Arial" w:hAnsi="Arial" w:cs="Arial"/>
          <w:lang w:val="en"/>
        </w:rPr>
        <w:t xml:space="preserve"> responsibilities include: </w:t>
      </w:r>
    </w:p>
    <w:p w14:paraId="06DA09F8" w14:textId="77777777" w:rsidR="00F440ED" w:rsidRPr="00193B95" w:rsidRDefault="00F440ED" w:rsidP="00DE4300">
      <w:pPr>
        <w:pStyle w:val="NoSpacing"/>
        <w:numPr>
          <w:ilvl w:val="0"/>
          <w:numId w:val="18"/>
        </w:numPr>
        <w:rPr>
          <w:rFonts w:ascii="Arial" w:hAnsi="Arial" w:cs="Arial"/>
          <w:lang w:val="en"/>
        </w:rPr>
      </w:pPr>
      <w:r w:rsidRPr="00193B95">
        <w:rPr>
          <w:rFonts w:ascii="Arial" w:hAnsi="Arial" w:cs="Arial"/>
          <w:lang w:val="en"/>
        </w:rPr>
        <w:t xml:space="preserve">Informing the </w:t>
      </w:r>
      <w:r w:rsidR="00CF2101" w:rsidRPr="00193B95">
        <w:rPr>
          <w:rFonts w:ascii="Arial" w:hAnsi="Arial" w:cs="Arial"/>
          <w:lang w:val="en"/>
        </w:rPr>
        <w:t>sub-recipient</w:t>
      </w:r>
      <w:r w:rsidRPr="00193B95">
        <w:rPr>
          <w:rFonts w:ascii="Arial" w:hAnsi="Arial" w:cs="Arial"/>
          <w:lang w:val="en"/>
        </w:rPr>
        <w:t xml:space="preserve"> of all applicable federal laws and regulations of the agreement </w:t>
      </w:r>
      <w:r w:rsidR="00DE4300" w:rsidRPr="00193B95">
        <w:rPr>
          <w:rFonts w:ascii="Arial" w:hAnsi="Arial" w:cs="Arial"/>
          <w:lang w:val="en"/>
        </w:rPr>
        <w:t xml:space="preserve">by attaching to the sub-agreement a copy of the agreement that Bemidji </w:t>
      </w:r>
      <w:r w:rsidR="00DE4300" w:rsidRPr="00193B95">
        <w:rPr>
          <w:rFonts w:ascii="Arial" w:hAnsi="Arial" w:cs="Arial"/>
          <w:lang w:val="en"/>
        </w:rPr>
        <w:lastRenderedPageBreak/>
        <w:t xml:space="preserve">State University has with the </w:t>
      </w:r>
      <w:r w:rsidR="00DE4300" w:rsidRPr="00193B95">
        <w:rPr>
          <w:rFonts w:ascii="Arial" w:hAnsi="Arial" w:cs="Arial"/>
        </w:rPr>
        <w:t>prime award stating the terms and conditions that will flow down to the sub-recipient.</w:t>
      </w:r>
    </w:p>
    <w:p w14:paraId="75BD354C" w14:textId="77777777" w:rsidR="00F440ED" w:rsidRPr="00193B95" w:rsidRDefault="00F440ED" w:rsidP="00F440ED">
      <w:pPr>
        <w:pStyle w:val="NoSpacing"/>
        <w:numPr>
          <w:ilvl w:val="0"/>
          <w:numId w:val="18"/>
        </w:numPr>
        <w:rPr>
          <w:rFonts w:ascii="Arial" w:hAnsi="Arial" w:cs="Arial"/>
          <w:lang w:val="en"/>
        </w:rPr>
      </w:pPr>
      <w:r w:rsidRPr="00193B95">
        <w:rPr>
          <w:rFonts w:ascii="Arial" w:hAnsi="Arial" w:cs="Arial"/>
          <w:lang w:val="en"/>
        </w:rPr>
        <w:t xml:space="preserve">Establishing a system to monitor the performance and activities of the </w:t>
      </w:r>
      <w:r w:rsidR="00CF2101" w:rsidRPr="00193B95">
        <w:rPr>
          <w:rFonts w:ascii="Arial" w:hAnsi="Arial" w:cs="Arial"/>
          <w:lang w:val="en"/>
        </w:rPr>
        <w:t>sub-recipient</w:t>
      </w:r>
      <w:r w:rsidRPr="00193B95">
        <w:rPr>
          <w:rFonts w:ascii="Arial" w:hAnsi="Arial" w:cs="Arial"/>
          <w:lang w:val="en"/>
        </w:rPr>
        <w:t xml:space="preserve">s’ </w:t>
      </w:r>
    </w:p>
    <w:p w14:paraId="76B2AC60" w14:textId="77777777" w:rsidR="00F440ED" w:rsidRPr="00193B95" w:rsidRDefault="00F440ED" w:rsidP="00F440ED">
      <w:pPr>
        <w:pStyle w:val="NoSpacing"/>
        <w:numPr>
          <w:ilvl w:val="0"/>
          <w:numId w:val="18"/>
        </w:numPr>
        <w:rPr>
          <w:rFonts w:ascii="Arial" w:hAnsi="Arial" w:cs="Arial"/>
          <w:lang w:val="en"/>
        </w:rPr>
      </w:pPr>
      <w:r w:rsidRPr="00193B95">
        <w:rPr>
          <w:rFonts w:ascii="Arial" w:hAnsi="Arial" w:cs="Arial"/>
          <w:lang w:val="en"/>
        </w:rPr>
        <w:t xml:space="preserve">Making sure that all costs of the </w:t>
      </w:r>
      <w:r w:rsidR="00CF2101" w:rsidRPr="00193B95">
        <w:rPr>
          <w:rFonts w:ascii="Arial" w:hAnsi="Arial" w:cs="Arial"/>
          <w:lang w:val="en"/>
        </w:rPr>
        <w:t>sub-award</w:t>
      </w:r>
      <w:r w:rsidRPr="00193B95">
        <w:rPr>
          <w:rFonts w:ascii="Arial" w:hAnsi="Arial" w:cs="Arial"/>
          <w:lang w:val="en"/>
        </w:rPr>
        <w:t xml:space="preserve"> are in accordance with the cost principles and procedures applicable to the award agreement (cost are necessary, reasonable, allocable, and allowable), </w:t>
      </w:r>
    </w:p>
    <w:p w14:paraId="3F8BE42C" w14:textId="77777777" w:rsidR="00F440ED" w:rsidRPr="00193B95" w:rsidRDefault="00F440ED" w:rsidP="00F440ED">
      <w:pPr>
        <w:pStyle w:val="NoSpacing"/>
        <w:numPr>
          <w:ilvl w:val="0"/>
          <w:numId w:val="18"/>
        </w:numPr>
        <w:rPr>
          <w:rFonts w:ascii="Arial" w:hAnsi="Arial" w:cs="Arial"/>
          <w:lang w:val="en"/>
        </w:rPr>
      </w:pPr>
      <w:r w:rsidRPr="00193B95">
        <w:rPr>
          <w:rFonts w:ascii="Arial" w:hAnsi="Arial" w:cs="Arial"/>
          <w:lang w:val="en"/>
        </w:rPr>
        <w:t xml:space="preserve">All questioned costs will require additional information from the </w:t>
      </w:r>
      <w:r w:rsidR="00CF2101" w:rsidRPr="00193B95">
        <w:rPr>
          <w:rFonts w:ascii="Arial" w:hAnsi="Arial" w:cs="Arial"/>
          <w:lang w:val="en"/>
        </w:rPr>
        <w:t>sub-recipient</w:t>
      </w:r>
      <w:r w:rsidRPr="00193B95">
        <w:rPr>
          <w:rFonts w:ascii="Arial" w:hAnsi="Arial" w:cs="Arial"/>
          <w:lang w:val="en"/>
        </w:rPr>
        <w:t>.</w:t>
      </w:r>
    </w:p>
    <w:p w14:paraId="74BD4B37" w14:textId="77777777" w:rsidR="000D5490" w:rsidRPr="00193B95" w:rsidRDefault="000D5490" w:rsidP="000D5490">
      <w:pPr>
        <w:pStyle w:val="NoSpacing"/>
        <w:rPr>
          <w:rFonts w:ascii="Arial" w:hAnsi="Arial" w:cs="Arial"/>
          <w:lang w:val="en"/>
        </w:rPr>
      </w:pPr>
    </w:p>
    <w:p w14:paraId="1CFB7804" w14:textId="77777777" w:rsidR="000D5490" w:rsidRPr="00193B95" w:rsidRDefault="000D5490" w:rsidP="000D5490">
      <w:pPr>
        <w:pStyle w:val="NoSpacing"/>
        <w:rPr>
          <w:rFonts w:ascii="Arial" w:hAnsi="Arial" w:cs="Arial"/>
          <w:b/>
          <w:lang w:val="en"/>
        </w:rPr>
      </w:pPr>
      <w:r w:rsidRPr="00193B95">
        <w:rPr>
          <w:rFonts w:ascii="Arial" w:hAnsi="Arial" w:cs="Arial"/>
          <w:b/>
          <w:lang w:val="en"/>
        </w:rPr>
        <w:t>Federal Funding Accountability and Transparency Act (FFATA)</w:t>
      </w:r>
    </w:p>
    <w:p w14:paraId="7637EED1" w14:textId="77777777" w:rsidR="008553DD" w:rsidRPr="00193B95" w:rsidRDefault="008553DD" w:rsidP="008553DD">
      <w:pPr>
        <w:autoSpaceDE w:val="0"/>
        <w:autoSpaceDN w:val="0"/>
        <w:adjustRightInd w:val="0"/>
        <w:spacing w:after="0" w:line="240" w:lineRule="auto"/>
        <w:rPr>
          <w:rFonts w:ascii="Arial" w:hAnsi="Arial" w:cs="Arial"/>
        </w:rPr>
      </w:pPr>
      <w:r w:rsidRPr="00193B95">
        <w:rPr>
          <w:rFonts w:ascii="Arial" w:hAnsi="Arial" w:cs="Arial"/>
        </w:rPr>
        <w:t>The Federal Funding Accountability and Transparency Act of 2006 (Pub. L. 109–282), as amended by section 6202 of Public Law 110–252, recipients must report information for each subaward of $25,000 or more in Federal funds and executive total compensation, as outlined in Appendix A to 2 CFR Part 170. The FFATA reporting requirements apply for the duration of the project period. Subawards to individuals are exempt from these requirements.</w:t>
      </w:r>
    </w:p>
    <w:p w14:paraId="5AD1BF0F" w14:textId="77777777" w:rsidR="008553DD" w:rsidRPr="00193B95" w:rsidRDefault="008553DD" w:rsidP="008553DD">
      <w:pPr>
        <w:autoSpaceDE w:val="0"/>
        <w:autoSpaceDN w:val="0"/>
        <w:adjustRightInd w:val="0"/>
        <w:spacing w:after="0" w:line="240" w:lineRule="auto"/>
        <w:rPr>
          <w:rFonts w:ascii="Arial" w:hAnsi="Arial" w:cs="Arial"/>
        </w:rPr>
      </w:pPr>
    </w:p>
    <w:p w14:paraId="3B9B9B76" w14:textId="358378AA" w:rsidR="00976775" w:rsidRPr="00193B95" w:rsidRDefault="000D5490" w:rsidP="008553DD">
      <w:pPr>
        <w:pStyle w:val="NoSpacing"/>
        <w:rPr>
          <w:rFonts w:ascii="Arial" w:hAnsi="Arial" w:cs="Arial"/>
          <w:shd w:val="clear" w:color="auto" w:fill="FFFFFF"/>
        </w:rPr>
      </w:pPr>
      <w:r w:rsidRPr="00193B95">
        <w:rPr>
          <w:rFonts w:ascii="Arial" w:hAnsi="Arial" w:cs="Arial"/>
          <w:lang w:val="en"/>
        </w:rPr>
        <w:t>As of October 1, 20</w:t>
      </w:r>
      <w:r w:rsidR="0027406E" w:rsidRPr="00193B95">
        <w:rPr>
          <w:rFonts w:ascii="Arial" w:hAnsi="Arial" w:cs="Arial"/>
          <w:lang w:val="en"/>
        </w:rPr>
        <w:t>10</w:t>
      </w:r>
      <w:r w:rsidRPr="00193B95">
        <w:rPr>
          <w:rFonts w:ascii="Arial" w:hAnsi="Arial" w:cs="Arial"/>
          <w:lang w:val="en"/>
        </w:rPr>
        <w:t xml:space="preserve">, all Federal </w:t>
      </w:r>
      <w:r w:rsidR="008553DD" w:rsidRPr="00193B95">
        <w:rPr>
          <w:rFonts w:ascii="Arial" w:hAnsi="Arial" w:cs="Arial"/>
          <w:lang w:val="en"/>
        </w:rPr>
        <w:t xml:space="preserve">sub-awards </w:t>
      </w:r>
      <w:r w:rsidRPr="00193B95">
        <w:rPr>
          <w:rFonts w:ascii="Arial" w:hAnsi="Arial" w:cs="Arial"/>
          <w:lang w:val="en"/>
        </w:rPr>
        <w:t>of $</w:t>
      </w:r>
      <w:r w:rsidR="0027406E" w:rsidRPr="00193B95">
        <w:rPr>
          <w:rFonts w:ascii="Arial" w:hAnsi="Arial" w:cs="Arial"/>
          <w:lang w:val="en"/>
        </w:rPr>
        <w:t>25</w:t>
      </w:r>
      <w:r w:rsidRPr="00193B95">
        <w:rPr>
          <w:rFonts w:ascii="Arial" w:hAnsi="Arial" w:cs="Arial"/>
          <w:lang w:val="en"/>
        </w:rPr>
        <w:t xml:space="preserve">,000 or larger are subject to the FFATA </w:t>
      </w:r>
      <w:r w:rsidR="00CF2101" w:rsidRPr="00193B95">
        <w:rPr>
          <w:rFonts w:ascii="Arial" w:hAnsi="Arial" w:cs="Arial"/>
          <w:lang w:val="en"/>
        </w:rPr>
        <w:t>sub-award</w:t>
      </w:r>
      <w:r w:rsidRPr="00193B95">
        <w:rPr>
          <w:rFonts w:ascii="Arial" w:hAnsi="Arial" w:cs="Arial"/>
          <w:lang w:val="en"/>
        </w:rPr>
        <w:t xml:space="preserve"> reporting requirements. </w:t>
      </w:r>
      <w:r w:rsidR="00CF2101" w:rsidRPr="00193B95">
        <w:rPr>
          <w:rFonts w:ascii="Arial" w:hAnsi="Arial" w:cs="Arial"/>
          <w:lang w:val="en"/>
        </w:rPr>
        <w:t>Sub-recipient</w:t>
      </w:r>
      <w:r w:rsidR="008756B9" w:rsidRPr="00193B95">
        <w:rPr>
          <w:rFonts w:ascii="Arial" w:hAnsi="Arial" w:cs="Arial"/>
          <w:lang w:val="en"/>
        </w:rPr>
        <w:t xml:space="preserve">s must maintain an active registration in the System for Award Management (SAM.gov) in order to receive federal funding. </w:t>
      </w:r>
      <w:r w:rsidR="006D71F6" w:rsidRPr="00193B95">
        <w:rPr>
          <w:rFonts w:ascii="Arial" w:hAnsi="Arial" w:cs="Arial"/>
          <w:shd w:val="clear" w:color="auto" w:fill="FFFFFF"/>
        </w:rPr>
        <w:t>The prime awardee is required to file a FFATA sub-award report by the end of the month following the month in which the prime recipient awards any sub-grant greater than or equal to $</w:t>
      </w:r>
      <w:r w:rsidR="008553DD" w:rsidRPr="00193B95">
        <w:rPr>
          <w:rFonts w:ascii="Arial" w:hAnsi="Arial" w:cs="Arial"/>
          <w:shd w:val="clear" w:color="auto" w:fill="FFFFFF"/>
        </w:rPr>
        <w:t>25</w:t>
      </w:r>
      <w:r w:rsidR="006D71F6" w:rsidRPr="00193B95">
        <w:rPr>
          <w:rFonts w:ascii="Arial" w:hAnsi="Arial" w:cs="Arial"/>
          <w:shd w:val="clear" w:color="auto" w:fill="FFFFFF"/>
        </w:rPr>
        <w:t>,000.</w:t>
      </w:r>
      <w:r w:rsidR="008756B9" w:rsidRPr="00193B95">
        <w:rPr>
          <w:rFonts w:ascii="Arial" w:hAnsi="Arial" w:cs="Arial"/>
          <w:shd w:val="clear" w:color="auto" w:fill="FFFFFF"/>
        </w:rPr>
        <w:t xml:space="preserve"> The </w:t>
      </w:r>
      <w:r w:rsidR="00CF2101" w:rsidRPr="00193B95">
        <w:rPr>
          <w:rFonts w:ascii="Arial" w:hAnsi="Arial" w:cs="Arial"/>
          <w:shd w:val="clear" w:color="auto" w:fill="FFFFFF"/>
        </w:rPr>
        <w:t>sub-recipient</w:t>
      </w:r>
      <w:r w:rsidR="008756B9" w:rsidRPr="00193B95">
        <w:rPr>
          <w:rFonts w:ascii="Arial" w:hAnsi="Arial" w:cs="Arial"/>
          <w:lang w:val="en"/>
        </w:rPr>
        <w:t xml:space="preserve"> information is loaded into</w:t>
      </w:r>
      <w:r w:rsidR="00AC7361" w:rsidRPr="00193B95">
        <w:rPr>
          <w:rFonts w:ascii="Arial" w:hAnsi="Arial" w:cs="Arial"/>
          <w:lang w:val="en"/>
        </w:rPr>
        <w:t xml:space="preserve"> Federal Funding Accountability and Transparency Act </w:t>
      </w:r>
      <w:r w:rsidR="00CF2101" w:rsidRPr="00193B95">
        <w:rPr>
          <w:rFonts w:ascii="Arial" w:hAnsi="Arial" w:cs="Arial"/>
          <w:lang w:val="en"/>
        </w:rPr>
        <w:t>Sub-award</w:t>
      </w:r>
      <w:r w:rsidR="008756B9" w:rsidRPr="00193B95">
        <w:rPr>
          <w:rFonts w:ascii="Arial" w:hAnsi="Arial" w:cs="Arial"/>
          <w:lang w:val="en"/>
        </w:rPr>
        <w:t xml:space="preserve"> Reporting System (FSRS</w:t>
      </w:r>
      <w:r w:rsidR="00AC7361" w:rsidRPr="00193B95">
        <w:rPr>
          <w:rFonts w:ascii="Arial" w:hAnsi="Arial" w:cs="Arial"/>
          <w:lang w:val="en"/>
        </w:rPr>
        <w:t>)</w:t>
      </w:r>
      <w:r w:rsidR="008756B9" w:rsidRPr="00193B95">
        <w:rPr>
          <w:rFonts w:ascii="Arial" w:hAnsi="Arial" w:cs="Arial"/>
          <w:lang w:val="en"/>
        </w:rPr>
        <w:t xml:space="preserve"> </w:t>
      </w:r>
      <w:r w:rsidR="000A2791" w:rsidRPr="00193B95">
        <w:rPr>
          <w:rFonts w:ascii="Arial" w:hAnsi="Arial" w:cs="Arial"/>
          <w:lang w:val="en"/>
        </w:rPr>
        <w:t xml:space="preserve">at </w:t>
      </w:r>
      <w:hyperlink r:id="rId7" w:history="1">
        <w:r w:rsidR="00976775" w:rsidRPr="00193B95">
          <w:rPr>
            <w:rStyle w:val="Hyperlink"/>
            <w:rFonts w:ascii="Arial" w:hAnsi="Arial" w:cs="Arial"/>
            <w:color w:val="auto"/>
            <w:lang w:val="en"/>
          </w:rPr>
          <w:t>https://www.fsrs.gov/index</w:t>
        </w:r>
      </w:hyperlink>
      <w:r w:rsidR="008756B9" w:rsidRPr="00193B95">
        <w:rPr>
          <w:rFonts w:ascii="Arial" w:hAnsi="Arial" w:cs="Arial"/>
          <w:lang w:val="en"/>
        </w:rPr>
        <w:t>.</w:t>
      </w:r>
      <w:r w:rsidR="00CF2101" w:rsidRPr="00193B95">
        <w:rPr>
          <w:rFonts w:ascii="Arial" w:hAnsi="Arial" w:cs="Arial"/>
          <w:lang w:val="en"/>
        </w:rPr>
        <w:t xml:space="preserve"> </w:t>
      </w:r>
    </w:p>
    <w:p w14:paraId="5BA7BEC1" w14:textId="77777777" w:rsidR="008756B9" w:rsidRPr="00193B95" w:rsidRDefault="008756B9" w:rsidP="000D5490">
      <w:pPr>
        <w:pStyle w:val="NoSpacing"/>
        <w:rPr>
          <w:rFonts w:ascii="Arial" w:hAnsi="Arial" w:cs="Arial"/>
          <w:shd w:val="clear" w:color="auto" w:fill="FFFFFF"/>
        </w:rPr>
      </w:pPr>
    </w:p>
    <w:p w14:paraId="4D4DD77E" w14:textId="77777777" w:rsidR="006D71F6" w:rsidRPr="00193B95" w:rsidRDefault="006D71F6" w:rsidP="000D5490">
      <w:pPr>
        <w:pStyle w:val="NoSpacing"/>
        <w:rPr>
          <w:rFonts w:ascii="Arial" w:hAnsi="Arial" w:cs="Arial"/>
          <w:shd w:val="clear" w:color="auto" w:fill="FFFFFF"/>
        </w:rPr>
      </w:pPr>
      <w:r w:rsidRPr="00193B95">
        <w:rPr>
          <w:rFonts w:ascii="Arial" w:hAnsi="Arial" w:cs="Arial"/>
          <w:shd w:val="clear" w:color="auto" w:fill="FFFFFF"/>
        </w:rPr>
        <w:t xml:space="preserve">When the </w:t>
      </w:r>
      <w:r w:rsidR="00CF2101" w:rsidRPr="00193B95">
        <w:rPr>
          <w:rFonts w:ascii="Arial" w:hAnsi="Arial" w:cs="Arial"/>
          <w:shd w:val="clear" w:color="auto" w:fill="FFFFFF"/>
        </w:rPr>
        <w:t>sub-award</w:t>
      </w:r>
      <w:r w:rsidRPr="00193B95">
        <w:rPr>
          <w:rFonts w:ascii="Arial" w:hAnsi="Arial" w:cs="Arial"/>
          <w:shd w:val="clear" w:color="auto" w:fill="FFFFFF"/>
        </w:rPr>
        <w:t xml:space="preserve"> amount is $</w:t>
      </w:r>
      <w:r w:rsidR="0027406E" w:rsidRPr="00193B95">
        <w:rPr>
          <w:rFonts w:ascii="Arial" w:hAnsi="Arial" w:cs="Arial"/>
          <w:shd w:val="clear" w:color="auto" w:fill="FFFFFF"/>
        </w:rPr>
        <w:t>25</w:t>
      </w:r>
      <w:r w:rsidRPr="00193B95">
        <w:rPr>
          <w:rFonts w:ascii="Arial" w:hAnsi="Arial" w:cs="Arial"/>
          <w:shd w:val="clear" w:color="auto" w:fill="FFFFFF"/>
        </w:rPr>
        <w:t xml:space="preserve">,000 or larger, the following information is obtained from the </w:t>
      </w:r>
      <w:r w:rsidR="00CF2101" w:rsidRPr="00193B95">
        <w:rPr>
          <w:rFonts w:ascii="Arial" w:hAnsi="Arial" w:cs="Arial"/>
          <w:shd w:val="clear" w:color="auto" w:fill="FFFFFF"/>
        </w:rPr>
        <w:t>sub-recipient</w:t>
      </w:r>
      <w:r w:rsidRPr="00193B95">
        <w:rPr>
          <w:rFonts w:ascii="Arial" w:hAnsi="Arial" w:cs="Arial"/>
          <w:shd w:val="clear" w:color="auto" w:fill="FFFFFF"/>
        </w:rPr>
        <w:t xml:space="preserve"> to meet the FFATA requirements:</w:t>
      </w:r>
    </w:p>
    <w:p w14:paraId="3E50CD66"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Name of entity receiving award</w:t>
      </w:r>
    </w:p>
    <w:p w14:paraId="3CE4869D"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 xml:space="preserve">Amount </w:t>
      </w:r>
      <w:r w:rsidR="00976775" w:rsidRPr="00193B95">
        <w:rPr>
          <w:rFonts w:ascii="Arial" w:hAnsi="Arial" w:cs="Arial"/>
          <w:lang w:val="en"/>
        </w:rPr>
        <w:t xml:space="preserve">and date of the </w:t>
      </w:r>
      <w:r w:rsidRPr="00193B95">
        <w:rPr>
          <w:rFonts w:ascii="Arial" w:hAnsi="Arial" w:cs="Arial"/>
          <w:lang w:val="en"/>
        </w:rPr>
        <w:t>award</w:t>
      </w:r>
    </w:p>
    <w:p w14:paraId="260D1698"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Funding agency</w:t>
      </w:r>
    </w:p>
    <w:p w14:paraId="5F288BBA" w14:textId="77777777" w:rsidR="006D71F6" w:rsidRPr="00193B95" w:rsidRDefault="00836C73" w:rsidP="006D71F6">
      <w:pPr>
        <w:pStyle w:val="NoSpacing"/>
        <w:numPr>
          <w:ilvl w:val="0"/>
          <w:numId w:val="20"/>
        </w:numPr>
        <w:rPr>
          <w:rFonts w:ascii="Arial" w:hAnsi="Arial" w:cs="Arial"/>
          <w:lang w:val="en"/>
        </w:rPr>
      </w:pPr>
      <w:r w:rsidRPr="00193B95">
        <w:rPr>
          <w:rFonts w:ascii="Arial" w:hAnsi="Arial" w:cs="Arial"/>
          <w:lang w:val="en"/>
        </w:rPr>
        <w:t>Catalog of Federal Domestic Assistance (</w:t>
      </w:r>
      <w:r w:rsidR="006D71F6" w:rsidRPr="00193B95">
        <w:rPr>
          <w:rFonts w:ascii="Arial" w:hAnsi="Arial" w:cs="Arial"/>
          <w:lang w:val="en"/>
        </w:rPr>
        <w:t>CFDA</w:t>
      </w:r>
      <w:r w:rsidRPr="00193B95">
        <w:rPr>
          <w:rFonts w:ascii="Arial" w:hAnsi="Arial" w:cs="Arial"/>
          <w:lang w:val="en"/>
        </w:rPr>
        <w:t>)</w:t>
      </w:r>
      <w:r w:rsidR="006D71F6" w:rsidRPr="00193B95">
        <w:rPr>
          <w:rFonts w:ascii="Arial" w:hAnsi="Arial" w:cs="Arial"/>
          <w:lang w:val="en"/>
        </w:rPr>
        <w:t xml:space="preserve"> </w:t>
      </w:r>
      <w:r w:rsidRPr="00193B95">
        <w:rPr>
          <w:rFonts w:ascii="Arial" w:hAnsi="Arial" w:cs="Arial"/>
          <w:lang w:val="en"/>
        </w:rPr>
        <w:t>number</w:t>
      </w:r>
    </w:p>
    <w:p w14:paraId="3185357D"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Program source</w:t>
      </w:r>
    </w:p>
    <w:p w14:paraId="5E61CADC"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Award title descriptive of the purpose of the funding action</w:t>
      </w:r>
    </w:p>
    <w:p w14:paraId="68B03A94"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Location of the entity (including congressional district)</w:t>
      </w:r>
      <w:r w:rsidR="00836C73" w:rsidRPr="00193B95">
        <w:rPr>
          <w:rFonts w:ascii="Arial" w:hAnsi="Arial" w:cs="Arial"/>
          <w:lang w:val="en"/>
        </w:rPr>
        <w:t xml:space="preserve"> of </w:t>
      </w:r>
    </w:p>
    <w:p w14:paraId="4BC425BE"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Place of performance (including congressional district)</w:t>
      </w:r>
      <w:r w:rsidR="00836C73" w:rsidRPr="00193B95">
        <w:rPr>
          <w:rFonts w:ascii="Arial" w:hAnsi="Arial" w:cs="Arial"/>
          <w:lang w:val="en"/>
        </w:rPr>
        <w:t xml:space="preserve"> of </w:t>
      </w:r>
    </w:p>
    <w:p w14:paraId="3EE8CC08"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Sam.gov registration</w:t>
      </w:r>
    </w:p>
    <w:p w14:paraId="03E818DD"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Unique identifier of the entity and its parent (</w:t>
      </w:r>
      <w:r w:rsidR="00836C73" w:rsidRPr="00193B95">
        <w:rPr>
          <w:rFonts w:ascii="Arial" w:hAnsi="Arial" w:cs="Arial"/>
          <w:lang w:val="en"/>
        </w:rPr>
        <w:t xml:space="preserve">Data Universal Numbering System - </w:t>
      </w:r>
      <w:r w:rsidRPr="00193B95">
        <w:rPr>
          <w:rFonts w:ascii="Arial" w:hAnsi="Arial" w:cs="Arial"/>
          <w:lang w:val="en"/>
        </w:rPr>
        <w:t>DUNS)</w:t>
      </w:r>
    </w:p>
    <w:p w14:paraId="7A0E9479" w14:textId="77777777" w:rsidR="006D71F6" w:rsidRPr="00193B95" w:rsidRDefault="006D71F6" w:rsidP="006D71F6">
      <w:pPr>
        <w:pStyle w:val="NoSpacing"/>
        <w:numPr>
          <w:ilvl w:val="0"/>
          <w:numId w:val="20"/>
        </w:numPr>
        <w:rPr>
          <w:rFonts w:ascii="Arial" w:hAnsi="Arial" w:cs="Arial"/>
          <w:lang w:val="en"/>
        </w:rPr>
      </w:pPr>
      <w:r w:rsidRPr="00193B95">
        <w:rPr>
          <w:rFonts w:ascii="Arial" w:hAnsi="Arial" w:cs="Arial"/>
          <w:lang w:val="en"/>
        </w:rPr>
        <w:t>To</w:t>
      </w:r>
      <w:r w:rsidR="008756B9" w:rsidRPr="00193B95">
        <w:rPr>
          <w:rFonts w:ascii="Arial" w:hAnsi="Arial" w:cs="Arial"/>
          <w:lang w:val="en"/>
        </w:rPr>
        <w:t>tal compensation and names of top five</w:t>
      </w:r>
      <w:r w:rsidRPr="00193B95">
        <w:rPr>
          <w:rFonts w:ascii="Arial" w:hAnsi="Arial" w:cs="Arial"/>
          <w:lang w:val="en"/>
        </w:rPr>
        <w:t xml:space="preserve"> executive (same threshold for prime) if:</w:t>
      </w:r>
    </w:p>
    <w:p w14:paraId="1C62DD05" w14:textId="77777777" w:rsidR="006D71F6" w:rsidRPr="00193B95" w:rsidRDefault="006D71F6" w:rsidP="006D71F6">
      <w:pPr>
        <w:pStyle w:val="NoSpacing"/>
        <w:numPr>
          <w:ilvl w:val="1"/>
          <w:numId w:val="20"/>
        </w:numPr>
        <w:rPr>
          <w:rFonts w:ascii="Arial" w:hAnsi="Arial" w:cs="Arial"/>
          <w:lang w:val="en"/>
        </w:rPr>
      </w:pPr>
      <w:r w:rsidRPr="00193B95">
        <w:rPr>
          <w:rFonts w:ascii="Arial" w:hAnsi="Arial" w:cs="Arial"/>
          <w:lang w:val="en"/>
        </w:rPr>
        <w:t xml:space="preserve">More than 80% of annual gross revenues from the federal government and those revenues are greater than </w:t>
      </w:r>
      <w:r w:rsidR="008756B9" w:rsidRPr="00193B95">
        <w:rPr>
          <w:rFonts w:ascii="Arial" w:hAnsi="Arial" w:cs="Arial"/>
          <w:lang w:val="en"/>
        </w:rPr>
        <w:t>$</w:t>
      </w:r>
      <w:r w:rsidRPr="00193B95">
        <w:rPr>
          <w:rFonts w:ascii="Arial" w:hAnsi="Arial" w:cs="Arial"/>
          <w:lang w:val="en"/>
        </w:rPr>
        <w:t>25 million</w:t>
      </w:r>
      <w:r w:rsidR="008756B9" w:rsidRPr="00193B95">
        <w:rPr>
          <w:rFonts w:ascii="Arial" w:hAnsi="Arial" w:cs="Arial"/>
          <w:lang w:val="en"/>
        </w:rPr>
        <w:t xml:space="preserve"> annually</w:t>
      </w:r>
    </w:p>
    <w:p w14:paraId="17C5D46C" w14:textId="77777777" w:rsidR="008756B9" w:rsidRPr="00193B95" w:rsidRDefault="008756B9" w:rsidP="006D71F6">
      <w:pPr>
        <w:pStyle w:val="NoSpacing"/>
        <w:numPr>
          <w:ilvl w:val="1"/>
          <w:numId w:val="20"/>
        </w:numPr>
        <w:rPr>
          <w:rFonts w:ascii="Arial" w:hAnsi="Arial" w:cs="Arial"/>
          <w:lang w:val="en"/>
        </w:rPr>
      </w:pPr>
      <w:r w:rsidRPr="00193B95">
        <w:rPr>
          <w:rFonts w:ascii="Arial" w:hAnsi="Arial" w:cs="Arial"/>
          <w:lang w:val="en"/>
        </w:rPr>
        <w:t>Compensation information is not already available through reporting to the SEC</w:t>
      </w:r>
    </w:p>
    <w:p w14:paraId="1B72F147" w14:textId="77777777" w:rsidR="000A2791" w:rsidRPr="00193B95" w:rsidRDefault="000A2791" w:rsidP="000A2791">
      <w:pPr>
        <w:pStyle w:val="NoSpacing"/>
        <w:rPr>
          <w:rFonts w:ascii="Arial" w:hAnsi="Arial" w:cs="Arial"/>
          <w:lang w:val="en"/>
        </w:rPr>
      </w:pPr>
    </w:p>
    <w:p w14:paraId="239EF38E" w14:textId="77777777" w:rsidR="000A2791" w:rsidRPr="00193B95" w:rsidRDefault="000A2791" w:rsidP="000A2791">
      <w:pPr>
        <w:pStyle w:val="NoSpacing"/>
        <w:rPr>
          <w:rFonts w:ascii="Arial" w:hAnsi="Arial" w:cs="Arial"/>
          <w:lang w:val="en"/>
        </w:rPr>
      </w:pPr>
      <w:r w:rsidRPr="00193B95">
        <w:rPr>
          <w:rFonts w:ascii="Arial" w:hAnsi="Arial" w:cs="Arial"/>
          <w:lang w:val="en"/>
        </w:rPr>
        <w:t xml:space="preserve">If a </w:t>
      </w:r>
      <w:r w:rsidR="00CF2101" w:rsidRPr="00193B95">
        <w:rPr>
          <w:rFonts w:ascii="Arial" w:hAnsi="Arial" w:cs="Arial"/>
          <w:lang w:val="en"/>
        </w:rPr>
        <w:t>sub-award</w:t>
      </w:r>
      <w:r w:rsidRPr="00193B95">
        <w:rPr>
          <w:rFonts w:ascii="Arial" w:hAnsi="Arial" w:cs="Arial"/>
          <w:lang w:val="en"/>
        </w:rPr>
        <w:t xml:space="preserve"> is requested after a prime contract is executed and </w:t>
      </w:r>
      <w:r w:rsidR="00A2216C" w:rsidRPr="00193B95">
        <w:rPr>
          <w:rFonts w:ascii="Arial" w:hAnsi="Arial" w:cs="Arial"/>
          <w:lang w:val="en"/>
        </w:rPr>
        <w:t>the pre-award obtained no FFATA information</w:t>
      </w:r>
      <w:r w:rsidRPr="00193B95">
        <w:rPr>
          <w:rFonts w:ascii="Arial" w:hAnsi="Arial" w:cs="Arial"/>
          <w:lang w:val="en"/>
        </w:rPr>
        <w:t xml:space="preserve">, this information must be obtained before the </w:t>
      </w:r>
      <w:r w:rsidR="00CF2101" w:rsidRPr="00193B95">
        <w:rPr>
          <w:rFonts w:ascii="Arial" w:hAnsi="Arial" w:cs="Arial"/>
          <w:lang w:val="en"/>
        </w:rPr>
        <w:t>sub-award</w:t>
      </w:r>
      <w:r w:rsidRPr="00193B95">
        <w:rPr>
          <w:rFonts w:ascii="Arial" w:hAnsi="Arial" w:cs="Arial"/>
          <w:lang w:val="en"/>
        </w:rPr>
        <w:t xml:space="preserve"> will be executed. </w:t>
      </w:r>
    </w:p>
    <w:p w14:paraId="23F2625C" w14:textId="77777777" w:rsidR="000A2791" w:rsidRPr="00193B95" w:rsidRDefault="000A2791" w:rsidP="000A2791">
      <w:pPr>
        <w:pStyle w:val="NoSpacing"/>
        <w:rPr>
          <w:rFonts w:ascii="Arial" w:hAnsi="Arial" w:cs="Arial"/>
          <w:lang w:val="en"/>
        </w:rPr>
      </w:pPr>
    </w:p>
    <w:p w14:paraId="24B419BF" w14:textId="77777777" w:rsidR="00F440ED" w:rsidRPr="00193B95" w:rsidRDefault="00F440ED" w:rsidP="00F440ED">
      <w:pPr>
        <w:pStyle w:val="NoSpacing"/>
        <w:rPr>
          <w:rFonts w:ascii="Arial" w:hAnsi="Arial" w:cs="Arial"/>
          <w:lang w:val="en"/>
        </w:rPr>
      </w:pPr>
      <w:r w:rsidRPr="00193B95">
        <w:rPr>
          <w:rFonts w:ascii="Arial" w:hAnsi="Arial" w:cs="Arial"/>
          <w:b/>
          <w:lang w:val="en"/>
        </w:rPr>
        <w:t>Principal Investigators (PIs) or designee</w:t>
      </w:r>
      <w:r w:rsidRPr="00193B95">
        <w:rPr>
          <w:rFonts w:ascii="Arial" w:hAnsi="Arial" w:cs="Arial"/>
          <w:lang w:val="en"/>
        </w:rPr>
        <w:t xml:space="preserve"> will review </w:t>
      </w:r>
      <w:r w:rsidR="00CF2101" w:rsidRPr="00193B95">
        <w:rPr>
          <w:rFonts w:ascii="Arial" w:hAnsi="Arial" w:cs="Arial"/>
          <w:lang w:val="en"/>
        </w:rPr>
        <w:t>sub-recipient</w:t>
      </w:r>
      <w:r w:rsidRPr="00193B95">
        <w:rPr>
          <w:rFonts w:ascii="Arial" w:hAnsi="Arial" w:cs="Arial"/>
          <w:lang w:val="en"/>
        </w:rPr>
        <w:t xml:space="preserve"> invoices, identifying and following up on questionable expenditures, if necessary, and maintaining documentation of </w:t>
      </w:r>
      <w:r w:rsidRPr="00193B95">
        <w:rPr>
          <w:rFonts w:ascii="Arial" w:hAnsi="Arial" w:cs="Arial"/>
          <w:lang w:val="en"/>
        </w:rPr>
        <w:lastRenderedPageBreak/>
        <w:t xml:space="preserve">monitoring efforts. The PI may provide further training and guidance in interpreting regulations and </w:t>
      </w:r>
      <w:r w:rsidR="00CF2101" w:rsidRPr="00193B95">
        <w:rPr>
          <w:rFonts w:ascii="Arial" w:hAnsi="Arial" w:cs="Arial"/>
          <w:lang w:val="en"/>
        </w:rPr>
        <w:t>sub-recipient</w:t>
      </w:r>
      <w:r w:rsidRPr="00193B95">
        <w:rPr>
          <w:rFonts w:ascii="Arial" w:hAnsi="Arial" w:cs="Arial"/>
          <w:lang w:val="en"/>
        </w:rPr>
        <w:t xml:space="preserve"> award terms and conditions.  </w:t>
      </w:r>
    </w:p>
    <w:p w14:paraId="2C4C8250" w14:textId="77777777" w:rsidR="00F440ED" w:rsidRPr="00193B95" w:rsidRDefault="00F440ED" w:rsidP="00F440ED">
      <w:pPr>
        <w:pStyle w:val="NoSpacing"/>
        <w:rPr>
          <w:rFonts w:ascii="Arial" w:hAnsi="Arial" w:cs="Arial"/>
          <w:b/>
          <w:bCs/>
          <w:lang w:val="en"/>
        </w:rPr>
      </w:pPr>
    </w:p>
    <w:p w14:paraId="0E300D4F" w14:textId="77777777" w:rsidR="006317FD" w:rsidRPr="00193B95" w:rsidRDefault="006317FD" w:rsidP="00F440ED">
      <w:pPr>
        <w:pStyle w:val="NoSpacing"/>
        <w:rPr>
          <w:rFonts w:ascii="Arial" w:hAnsi="Arial" w:cs="Arial"/>
          <w:lang w:val="en"/>
        </w:rPr>
      </w:pPr>
      <w:r w:rsidRPr="00193B95">
        <w:rPr>
          <w:rFonts w:ascii="Arial" w:hAnsi="Arial" w:cs="Arial"/>
          <w:b/>
          <w:bCs/>
          <w:lang w:val="en"/>
        </w:rPr>
        <w:t xml:space="preserve">Grants Accounting Officer </w:t>
      </w:r>
      <w:r w:rsidRPr="00193B95">
        <w:rPr>
          <w:rFonts w:ascii="Arial" w:hAnsi="Arial" w:cs="Arial"/>
          <w:bCs/>
          <w:lang w:val="en"/>
        </w:rPr>
        <w:t>will e</w:t>
      </w:r>
      <w:r w:rsidRPr="00193B95">
        <w:rPr>
          <w:rFonts w:ascii="Arial" w:hAnsi="Arial" w:cs="Arial"/>
          <w:lang w:val="en"/>
        </w:rPr>
        <w:t xml:space="preserve">nsure that the </w:t>
      </w:r>
      <w:r w:rsidR="00710600" w:rsidRPr="00193B95">
        <w:rPr>
          <w:rFonts w:ascii="Arial" w:hAnsi="Arial" w:cs="Arial"/>
          <w:lang w:val="en"/>
        </w:rPr>
        <w:t>College</w:t>
      </w:r>
      <w:r w:rsidRPr="00193B95">
        <w:rPr>
          <w:rFonts w:ascii="Arial" w:hAnsi="Arial" w:cs="Arial"/>
          <w:lang w:val="en"/>
        </w:rPr>
        <w:t xml:space="preserve">’s </w:t>
      </w:r>
      <w:r w:rsidR="00CF2101" w:rsidRPr="00193B95">
        <w:rPr>
          <w:rFonts w:ascii="Arial" w:hAnsi="Arial" w:cs="Arial"/>
          <w:lang w:val="en"/>
        </w:rPr>
        <w:t>sub-recipient</w:t>
      </w:r>
      <w:r w:rsidRPr="00193B95">
        <w:rPr>
          <w:rFonts w:ascii="Arial" w:hAnsi="Arial" w:cs="Arial"/>
          <w:lang w:val="en"/>
        </w:rPr>
        <w:t xml:space="preserve"> monitoring policies and procedures comply with federal and other applicable regulations and are applied consistently. </w:t>
      </w:r>
    </w:p>
    <w:p w14:paraId="647B45CC" w14:textId="77777777" w:rsidR="00F440ED" w:rsidRPr="00193B95" w:rsidRDefault="00F440ED" w:rsidP="00F440ED">
      <w:pPr>
        <w:pStyle w:val="NoSpacing"/>
        <w:rPr>
          <w:rFonts w:ascii="Arial" w:hAnsi="Arial" w:cs="Arial"/>
          <w:b/>
          <w:bCs/>
          <w:lang w:val="en"/>
        </w:rPr>
      </w:pPr>
    </w:p>
    <w:p w14:paraId="6831827E" w14:textId="77777777" w:rsidR="006317FD" w:rsidRPr="00193B95" w:rsidRDefault="008F6FF9" w:rsidP="00F440ED">
      <w:pPr>
        <w:pStyle w:val="NoSpacing"/>
        <w:rPr>
          <w:rFonts w:ascii="Arial" w:hAnsi="Arial" w:cs="Arial"/>
          <w:b/>
          <w:bCs/>
          <w:lang w:val="en"/>
        </w:rPr>
      </w:pPr>
      <w:r w:rsidRPr="00193B95">
        <w:rPr>
          <w:rFonts w:ascii="Arial" w:hAnsi="Arial" w:cs="Arial"/>
          <w:b/>
          <w:bCs/>
          <w:lang w:val="en"/>
        </w:rPr>
        <w:t>Requirements</w:t>
      </w:r>
    </w:p>
    <w:p w14:paraId="4E67FE61" w14:textId="77777777" w:rsidR="006317FD" w:rsidRPr="00193B95" w:rsidRDefault="006317FD" w:rsidP="00F440ED">
      <w:pPr>
        <w:pStyle w:val="NoSpacing"/>
        <w:rPr>
          <w:rFonts w:ascii="Arial" w:hAnsi="Arial" w:cs="Arial"/>
          <w:lang w:val="en"/>
        </w:rPr>
      </w:pPr>
      <w:r w:rsidRPr="00193B95">
        <w:rPr>
          <w:rFonts w:ascii="Arial" w:hAnsi="Arial" w:cs="Arial"/>
          <w:lang w:val="en"/>
        </w:rPr>
        <w:t xml:space="preserve">The </w:t>
      </w:r>
      <w:r w:rsidR="00B94D88" w:rsidRPr="00193B95">
        <w:rPr>
          <w:rFonts w:ascii="Arial" w:hAnsi="Arial" w:cs="Arial"/>
          <w:lang w:val="en"/>
        </w:rPr>
        <w:t>responsible PI should determine the frequency and scope of monitoring procedures</w:t>
      </w:r>
      <w:r w:rsidRPr="00193B95">
        <w:rPr>
          <w:rFonts w:ascii="Arial" w:hAnsi="Arial" w:cs="Arial"/>
          <w:lang w:val="en"/>
        </w:rPr>
        <w:t xml:space="preserve">. The Principal Investigator (PI) should use the following </w:t>
      </w:r>
      <w:r w:rsidR="00CF2101" w:rsidRPr="00193B95">
        <w:rPr>
          <w:rFonts w:ascii="Arial" w:hAnsi="Arial" w:cs="Arial"/>
          <w:lang w:val="en"/>
        </w:rPr>
        <w:t>sub-recipient</w:t>
      </w:r>
      <w:r w:rsidRPr="00193B95">
        <w:rPr>
          <w:rFonts w:ascii="Arial" w:hAnsi="Arial" w:cs="Arial"/>
          <w:lang w:val="en"/>
        </w:rPr>
        <w:t xml:space="preserve"> monitoring procedures when appropriate:</w:t>
      </w:r>
    </w:p>
    <w:p w14:paraId="0696AA94" w14:textId="77777777" w:rsidR="00DE4300" w:rsidRPr="00193B95" w:rsidRDefault="00DE4300" w:rsidP="00DE4300">
      <w:pPr>
        <w:pStyle w:val="NoSpacing"/>
        <w:numPr>
          <w:ilvl w:val="0"/>
          <w:numId w:val="19"/>
        </w:numPr>
        <w:rPr>
          <w:rFonts w:ascii="Arial" w:hAnsi="Arial" w:cs="Arial"/>
          <w:lang w:val="en"/>
        </w:rPr>
      </w:pPr>
      <w:r w:rsidRPr="00193B95">
        <w:rPr>
          <w:rFonts w:ascii="Arial" w:hAnsi="Arial" w:cs="Arial"/>
          <w:lang w:val="en"/>
        </w:rPr>
        <w:t xml:space="preserve">Before executing a </w:t>
      </w:r>
      <w:proofErr w:type="spellStart"/>
      <w:r w:rsidRPr="00193B95">
        <w:rPr>
          <w:rFonts w:ascii="Arial" w:hAnsi="Arial" w:cs="Arial"/>
          <w:lang w:val="en"/>
        </w:rPr>
        <w:t>subagreement</w:t>
      </w:r>
      <w:proofErr w:type="spellEnd"/>
      <w:r w:rsidRPr="00193B95">
        <w:rPr>
          <w:rFonts w:ascii="Arial" w:hAnsi="Arial" w:cs="Arial"/>
          <w:lang w:val="en"/>
        </w:rPr>
        <w:t>, the Grant Accounting Officer, in coordination with the PI, will conduct a risk assessment to determine the risk involved with the sub-recipient. This process is documented on the “Bemidji State University’s Sub-Recipient Risk Analysis”. A monitoring plan is developed based on the risk involved using the results of the assessment.</w:t>
      </w:r>
    </w:p>
    <w:p w14:paraId="5D1AB359" w14:textId="77777777" w:rsidR="006317FD" w:rsidRPr="00193B95" w:rsidRDefault="006317FD" w:rsidP="00F440ED">
      <w:pPr>
        <w:pStyle w:val="NoSpacing"/>
        <w:numPr>
          <w:ilvl w:val="0"/>
          <w:numId w:val="19"/>
        </w:numPr>
        <w:rPr>
          <w:rFonts w:ascii="Arial" w:hAnsi="Arial" w:cs="Arial"/>
          <w:lang w:val="en"/>
        </w:rPr>
      </w:pPr>
      <w:r w:rsidRPr="00193B95">
        <w:rPr>
          <w:rFonts w:ascii="Arial" w:hAnsi="Arial" w:cs="Arial"/>
          <w:lang w:val="en"/>
        </w:rPr>
        <w:t xml:space="preserve">The PI should review technical performance reports or other specified deliverables on a timely basis.  Any unforeseen issues should be documented, investigated and addressed by the appropriate authority. </w:t>
      </w:r>
    </w:p>
    <w:p w14:paraId="645F5763" w14:textId="77777777" w:rsidR="006317FD" w:rsidRPr="00193B95" w:rsidRDefault="006317FD" w:rsidP="00F440ED">
      <w:pPr>
        <w:pStyle w:val="NoSpacing"/>
        <w:numPr>
          <w:ilvl w:val="0"/>
          <w:numId w:val="19"/>
        </w:numPr>
        <w:rPr>
          <w:rFonts w:ascii="Arial" w:hAnsi="Arial" w:cs="Arial"/>
          <w:lang w:val="en"/>
        </w:rPr>
      </w:pPr>
      <w:r w:rsidRPr="00193B95">
        <w:rPr>
          <w:rFonts w:ascii="Arial" w:hAnsi="Arial" w:cs="Arial"/>
          <w:lang w:val="en"/>
        </w:rPr>
        <w:t xml:space="preserve">The PI and/or designee should perform an expense to budget comparison for cost-reimbursement </w:t>
      </w:r>
      <w:proofErr w:type="spellStart"/>
      <w:r w:rsidRPr="00193B95">
        <w:rPr>
          <w:rFonts w:ascii="Arial" w:hAnsi="Arial" w:cs="Arial"/>
          <w:lang w:val="en"/>
        </w:rPr>
        <w:t>subagreements</w:t>
      </w:r>
      <w:proofErr w:type="spellEnd"/>
      <w:r w:rsidRPr="00193B95">
        <w:rPr>
          <w:rFonts w:ascii="Arial" w:hAnsi="Arial" w:cs="Arial"/>
          <w:lang w:val="en"/>
        </w:rPr>
        <w:t xml:space="preserve">.  The </w:t>
      </w:r>
      <w:r w:rsidR="00CF2101" w:rsidRPr="00193B95">
        <w:rPr>
          <w:rFonts w:ascii="Arial" w:hAnsi="Arial" w:cs="Arial"/>
          <w:lang w:val="en"/>
        </w:rPr>
        <w:t>sub-recipient</w:t>
      </w:r>
      <w:r w:rsidRPr="00193B95">
        <w:rPr>
          <w:rFonts w:ascii="Arial" w:hAnsi="Arial" w:cs="Arial"/>
          <w:lang w:val="en"/>
        </w:rPr>
        <w:t>’s invoices must be itemized with the descriptio</w:t>
      </w:r>
      <w:r w:rsidR="00B94D88" w:rsidRPr="00193B95">
        <w:rPr>
          <w:rFonts w:ascii="Arial" w:hAnsi="Arial" w:cs="Arial"/>
          <w:lang w:val="en"/>
        </w:rPr>
        <w:t>n that includes dates of travel,</w:t>
      </w:r>
      <w:r w:rsidRPr="00193B95">
        <w:rPr>
          <w:rFonts w:ascii="Arial" w:hAnsi="Arial" w:cs="Arial"/>
          <w:lang w:val="en"/>
        </w:rPr>
        <w:t xml:space="preserve"> expense and </w:t>
      </w:r>
      <w:r w:rsidR="00B94D88" w:rsidRPr="00193B95">
        <w:rPr>
          <w:rFonts w:ascii="Arial" w:hAnsi="Arial" w:cs="Arial"/>
          <w:lang w:val="en"/>
        </w:rPr>
        <w:t>the</w:t>
      </w:r>
      <w:r w:rsidRPr="00193B95">
        <w:rPr>
          <w:rFonts w:ascii="Arial" w:hAnsi="Arial" w:cs="Arial"/>
          <w:lang w:val="en"/>
        </w:rPr>
        <w:t xml:space="preserve"> Time &amp; Effort report documentation.  </w:t>
      </w:r>
    </w:p>
    <w:p w14:paraId="38A86D0C" w14:textId="77777777" w:rsidR="006317FD" w:rsidRPr="00193B95" w:rsidRDefault="006317FD" w:rsidP="00F440ED">
      <w:pPr>
        <w:pStyle w:val="NoSpacing"/>
        <w:numPr>
          <w:ilvl w:val="0"/>
          <w:numId w:val="19"/>
        </w:numPr>
        <w:rPr>
          <w:rFonts w:ascii="Arial" w:hAnsi="Arial" w:cs="Arial"/>
          <w:lang w:val="en"/>
        </w:rPr>
      </w:pPr>
      <w:r w:rsidRPr="00193B95">
        <w:rPr>
          <w:rFonts w:ascii="Arial" w:hAnsi="Arial" w:cs="Arial"/>
          <w:lang w:val="en"/>
        </w:rPr>
        <w:t>The PI and/or designee should review invoices regularly and document their review. Such documentation should include: PI initials or authorizing signature on invoices.</w:t>
      </w:r>
    </w:p>
    <w:p w14:paraId="306C3768" w14:textId="77777777" w:rsidR="006317FD" w:rsidRPr="00193B95" w:rsidRDefault="006317FD" w:rsidP="00F440ED">
      <w:pPr>
        <w:pStyle w:val="NoSpacing"/>
        <w:numPr>
          <w:ilvl w:val="0"/>
          <w:numId w:val="19"/>
        </w:numPr>
        <w:rPr>
          <w:rFonts w:ascii="Arial" w:hAnsi="Arial" w:cs="Arial"/>
          <w:lang w:val="en"/>
        </w:rPr>
      </w:pPr>
      <w:r w:rsidRPr="00193B95">
        <w:rPr>
          <w:rFonts w:ascii="Arial" w:hAnsi="Arial" w:cs="Arial"/>
          <w:lang w:val="en"/>
        </w:rPr>
        <w:t xml:space="preserve">The PI and/or designee should request the </w:t>
      </w:r>
      <w:r w:rsidR="00CF2101" w:rsidRPr="00193B95">
        <w:rPr>
          <w:rFonts w:ascii="Arial" w:hAnsi="Arial" w:cs="Arial"/>
          <w:lang w:val="en"/>
        </w:rPr>
        <w:t>sub-recipient</w:t>
      </w:r>
      <w:r w:rsidRPr="00193B95">
        <w:rPr>
          <w:rFonts w:ascii="Arial" w:hAnsi="Arial" w:cs="Arial"/>
          <w:lang w:val="en"/>
        </w:rPr>
        <w:t xml:space="preserve"> to provide clarification of invoiced charges that appear unusual, excessive, or otherwise questionable. Examples of detailed justifications include:  </w:t>
      </w:r>
    </w:p>
    <w:p w14:paraId="429666A6" w14:textId="77777777" w:rsidR="006317FD" w:rsidRPr="00193B95" w:rsidRDefault="006317FD" w:rsidP="00B77562">
      <w:pPr>
        <w:pStyle w:val="NoSpacing"/>
        <w:numPr>
          <w:ilvl w:val="1"/>
          <w:numId w:val="19"/>
        </w:numPr>
        <w:rPr>
          <w:rFonts w:ascii="Arial" w:hAnsi="Arial" w:cs="Arial"/>
          <w:lang w:val="en"/>
        </w:rPr>
      </w:pPr>
      <w:r w:rsidRPr="00193B95">
        <w:rPr>
          <w:rFonts w:ascii="Arial" w:hAnsi="Arial" w:cs="Arial"/>
          <w:lang w:val="en"/>
        </w:rPr>
        <w:t>Time &amp; Effort reports</w:t>
      </w:r>
    </w:p>
    <w:p w14:paraId="1EECCE4A" w14:textId="77777777" w:rsidR="006317FD" w:rsidRPr="00193B95" w:rsidRDefault="006317FD" w:rsidP="00B77562">
      <w:pPr>
        <w:pStyle w:val="NoSpacing"/>
        <w:numPr>
          <w:ilvl w:val="1"/>
          <w:numId w:val="19"/>
        </w:numPr>
        <w:rPr>
          <w:rFonts w:ascii="Arial" w:hAnsi="Arial" w:cs="Arial"/>
          <w:lang w:val="en"/>
        </w:rPr>
      </w:pPr>
      <w:r w:rsidRPr="00193B95">
        <w:rPr>
          <w:rFonts w:ascii="Arial" w:hAnsi="Arial" w:cs="Arial"/>
          <w:lang w:val="en"/>
        </w:rPr>
        <w:t xml:space="preserve">Copies of paid invoices showing itemized cost </w:t>
      </w:r>
    </w:p>
    <w:p w14:paraId="7DB2BA81" w14:textId="77777777" w:rsidR="006317FD" w:rsidRPr="00193B95" w:rsidRDefault="006317FD" w:rsidP="00B77562">
      <w:pPr>
        <w:pStyle w:val="NoSpacing"/>
        <w:numPr>
          <w:ilvl w:val="1"/>
          <w:numId w:val="19"/>
        </w:numPr>
        <w:rPr>
          <w:rFonts w:ascii="Arial" w:hAnsi="Arial" w:cs="Arial"/>
          <w:lang w:val="en"/>
        </w:rPr>
      </w:pPr>
      <w:r w:rsidRPr="00193B95">
        <w:rPr>
          <w:rFonts w:ascii="Arial" w:hAnsi="Arial" w:cs="Arial"/>
          <w:lang w:val="en"/>
        </w:rPr>
        <w:t xml:space="preserve">Details of incurred travel charges stating the purpose of the travel  </w:t>
      </w:r>
    </w:p>
    <w:p w14:paraId="4CA9EDF5" w14:textId="77777777" w:rsidR="00833B64" w:rsidRPr="00193B95" w:rsidRDefault="006317FD" w:rsidP="00EA6719">
      <w:pPr>
        <w:pStyle w:val="NoSpacing"/>
        <w:numPr>
          <w:ilvl w:val="0"/>
          <w:numId w:val="19"/>
        </w:numPr>
        <w:rPr>
          <w:rFonts w:ascii="Arial" w:hAnsi="Arial" w:cs="Arial"/>
          <w:lang w:val="en"/>
        </w:rPr>
      </w:pPr>
      <w:r w:rsidRPr="00193B95">
        <w:rPr>
          <w:rFonts w:ascii="Arial" w:hAnsi="Arial" w:cs="Arial"/>
          <w:lang w:val="en"/>
        </w:rPr>
        <w:t xml:space="preserve">The PI, at their discretion, </w:t>
      </w:r>
      <w:r w:rsidR="00B94D88" w:rsidRPr="00193B95">
        <w:rPr>
          <w:rFonts w:ascii="Arial" w:hAnsi="Arial" w:cs="Arial"/>
          <w:lang w:val="en"/>
        </w:rPr>
        <w:t xml:space="preserve">may </w:t>
      </w:r>
      <w:r w:rsidRPr="00193B95">
        <w:rPr>
          <w:rFonts w:ascii="Arial" w:hAnsi="Arial" w:cs="Arial"/>
          <w:lang w:val="en"/>
        </w:rPr>
        <w:t xml:space="preserve">facilitate on-site visits to evaluate compliance with regulations and award terms. This evaluation may include a review of the project’s scientific objectives, and the appropriateness of the </w:t>
      </w:r>
      <w:r w:rsidR="00CF2101" w:rsidRPr="00193B95">
        <w:rPr>
          <w:rFonts w:ascii="Arial" w:hAnsi="Arial" w:cs="Arial"/>
          <w:lang w:val="en"/>
        </w:rPr>
        <w:t>sub-recipient</w:t>
      </w:r>
      <w:r w:rsidRPr="00193B95">
        <w:rPr>
          <w:rFonts w:ascii="Arial" w:hAnsi="Arial" w:cs="Arial"/>
          <w:lang w:val="en"/>
        </w:rPr>
        <w:t>’s administrative systems, processes and charges.</w:t>
      </w:r>
    </w:p>
    <w:p w14:paraId="2E1ABD07" w14:textId="77777777" w:rsidR="003637B7" w:rsidRPr="00193B95" w:rsidRDefault="003637B7" w:rsidP="000D609B">
      <w:pPr>
        <w:pStyle w:val="Default"/>
        <w:rPr>
          <w:rFonts w:ascii="Arial" w:hAnsi="Arial" w:cs="Arial"/>
          <w:b/>
          <w:bCs/>
          <w:color w:val="auto"/>
          <w:sz w:val="22"/>
          <w:szCs w:val="22"/>
        </w:rPr>
      </w:pPr>
    </w:p>
    <w:p w14:paraId="52D27408" w14:textId="77777777" w:rsidR="000B7384" w:rsidRPr="00193B95" w:rsidRDefault="00CF2101" w:rsidP="000D609B">
      <w:pPr>
        <w:pStyle w:val="Default"/>
        <w:rPr>
          <w:rFonts w:ascii="Arial" w:hAnsi="Arial" w:cs="Arial"/>
          <w:b/>
          <w:bCs/>
          <w:color w:val="auto"/>
          <w:sz w:val="22"/>
          <w:szCs w:val="22"/>
        </w:rPr>
      </w:pPr>
      <w:r w:rsidRPr="00193B95">
        <w:rPr>
          <w:rFonts w:ascii="Arial" w:hAnsi="Arial" w:cs="Arial"/>
          <w:b/>
          <w:bCs/>
          <w:color w:val="auto"/>
          <w:sz w:val="22"/>
          <w:szCs w:val="22"/>
        </w:rPr>
        <w:t>Sub-award</w:t>
      </w:r>
      <w:r w:rsidR="00C23EFE" w:rsidRPr="00193B95">
        <w:rPr>
          <w:rFonts w:ascii="Arial" w:hAnsi="Arial" w:cs="Arial"/>
          <w:b/>
          <w:bCs/>
          <w:color w:val="auto"/>
          <w:sz w:val="22"/>
          <w:szCs w:val="22"/>
        </w:rPr>
        <w:t xml:space="preserve"> Closeout</w:t>
      </w:r>
    </w:p>
    <w:p w14:paraId="6EBA437A" w14:textId="77777777" w:rsidR="00C23EFE" w:rsidRPr="00193B95" w:rsidRDefault="00C23EFE" w:rsidP="000D609B">
      <w:pPr>
        <w:pStyle w:val="Default"/>
        <w:rPr>
          <w:rFonts w:ascii="Arial" w:hAnsi="Arial" w:cs="Arial"/>
          <w:bCs/>
          <w:color w:val="auto"/>
          <w:sz w:val="22"/>
          <w:szCs w:val="22"/>
        </w:rPr>
      </w:pPr>
      <w:r w:rsidRPr="00193B95">
        <w:rPr>
          <w:rFonts w:ascii="Arial" w:hAnsi="Arial" w:cs="Arial"/>
          <w:bCs/>
          <w:color w:val="auto"/>
          <w:sz w:val="22"/>
          <w:szCs w:val="22"/>
        </w:rPr>
        <w:t xml:space="preserve">An integral part of the </w:t>
      </w:r>
      <w:r w:rsidR="00CF2101" w:rsidRPr="00193B95">
        <w:rPr>
          <w:rFonts w:ascii="Arial" w:hAnsi="Arial" w:cs="Arial"/>
          <w:bCs/>
          <w:color w:val="auto"/>
          <w:sz w:val="22"/>
          <w:szCs w:val="22"/>
        </w:rPr>
        <w:t>sub-award</w:t>
      </w:r>
      <w:r w:rsidRPr="00193B95">
        <w:rPr>
          <w:rFonts w:ascii="Arial" w:hAnsi="Arial" w:cs="Arial"/>
          <w:bCs/>
          <w:color w:val="auto"/>
          <w:sz w:val="22"/>
          <w:szCs w:val="22"/>
        </w:rPr>
        <w:t xml:space="preserve"> monitoring is close out of the grant at the end of the project period. The Principal Investigator and Grant Accounting Officer make a final determination if the </w:t>
      </w:r>
      <w:r w:rsidR="00CF2101" w:rsidRPr="00193B95">
        <w:rPr>
          <w:rFonts w:ascii="Arial" w:hAnsi="Arial" w:cs="Arial"/>
          <w:bCs/>
          <w:color w:val="auto"/>
          <w:sz w:val="22"/>
          <w:szCs w:val="22"/>
        </w:rPr>
        <w:t>sub-award</w:t>
      </w:r>
      <w:r w:rsidRPr="00193B95">
        <w:rPr>
          <w:rFonts w:ascii="Arial" w:hAnsi="Arial" w:cs="Arial"/>
          <w:bCs/>
          <w:color w:val="auto"/>
          <w:sz w:val="22"/>
          <w:szCs w:val="22"/>
        </w:rPr>
        <w:t xml:space="preserve"> has fulfilled all of its responsibilities under the agreement. The </w:t>
      </w:r>
      <w:r w:rsidR="00CF2101" w:rsidRPr="00193B95">
        <w:rPr>
          <w:rFonts w:ascii="Arial" w:hAnsi="Arial" w:cs="Arial"/>
          <w:bCs/>
          <w:color w:val="auto"/>
          <w:sz w:val="22"/>
          <w:szCs w:val="22"/>
        </w:rPr>
        <w:t>sub-award</w:t>
      </w:r>
      <w:r w:rsidRPr="00193B95">
        <w:rPr>
          <w:rFonts w:ascii="Arial" w:hAnsi="Arial" w:cs="Arial"/>
          <w:bCs/>
          <w:color w:val="auto"/>
          <w:sz w:val="22"/>
          <w:szCs w:val="22"/>
        </w:rPr>
        <w:t xml:space="preserve"> is closed when all deliverables have been met and the final payment has been made. </w:t>
      </w:r>
    </w:p>
    <w:p w14:paraId="7ABB80B9" w14:textId="77777777" w:rsidR="00C23EFE" w:rsidRPr="00193B95" w:rsidRDefault="00C23EFE" w:rsidP="000D609B">
      <w:pPr>
        <w:pStyle w:val="Default"/>
        <w:rPr>
          <w:rFonts w:ascii="Arial" w:hAnsi="Arial" w:cs="Arial"/>
          <w:bCs/>
          <w:color w:val="auto"/>
          <w:sz w:val="22"/>
          <w:szCs w:val="22"/>
        </w:rPr>
      </w:pPr>
    </w:p>
    <w:p w14:paraId="06463E82" w14:textId="77777777" w:rsidR="00C23EFE" w:rsidRPr="00193B95" w:rsidRDefault="00C23EFE" w:rsidP="000D609B">
      <w:pPr>
        <w:pStyle w:val="Default"/>
        <w:rPr>
          <w:rFonts w:ascii="Arial" w:hAnsi="Arial" w:cs="Arial"/>
          <w:bCs/>
          <w:color w:val="auto"/>
          <w:sz w:val="22"/>
          <w:szCs w:val="22"/>
        </w:rPr>
      </w:pPr>
      <w:r w:rsidRPr="00193B95">
        <w:rPr>
          <w:rFonts w:ascii="Arial" w:hAnsi="Arial" w:cs="Arial"/>
          <w:bCs/>
          <w:color w:val="auto"/>
          <w:sz w:val="22"/>
          <w:szCs w:val="22"/>
        </w:rPr>
        <w:t xml:space="preserve">Then </w:t>
      </w:r>
      <w:r w:rsidR="009A6C42" w:rsidRPr="00193B95">
        <w:rPr>
          <w:rFonts w:ascii="Arial" w:hAnsi="Arial" w:cs="Arial"/>
          <w:bCs/>
          <w:color w:val="auto"/>
          <w:sz w:val="22"/>
          <w:szCs w:val="22"/>
        </w:rPr>
        <w:t xml:space="preserve">Principal Investigator, in collaboration with the business office, will begin closeout review at least sixty days prior to the conclusion of the </w:t>
      </w:r>
      <w:r w:rsidR="00CF2101" w:rsidRPr="00193B95">
        <w:rPr>
          <w:rFonts w:ascii="Arial" w:hAnsi="Arial" w:cs="Arial"/>
          <w:bCs/>
          <w:color w:val="auto"/>
          <w:sz w:val="22"/>
          <w:szCs w:val="22"/>
        </w:rPr>
        <w:t>sub-award</w:t>
      </w:r>
      <w:r w:rsidR="009A6C42" w:rsidRPr="00193B95">
        <w:rPr>
          <w:rFonts w:ascii="Arial" w:hAnsi="Arial" w:cs="Arial"/>
          <w:bCs/>
          <w:color w:val="auto"/>
          <w:sz w:val="22"/>
          <w:szCs w:val="22"/>
        </w:rPr>
        <w:t xml:space="preserve"> period of performance. This will allow time to make any budgetary actions or request extensions to the awarding agency. Generally, </w:t>
      </w:r>
      <w:r w:rsidR="00CF2101" w:rsidRPr="00193B95">
        <w:rPr>
          <w:rFonts w:ascii="Arial" w:hAnsi="Arial" w:cs="Arial"/>
          <w:bCs/>
          <w:color w:val="auto"/>
          <w:sz w:val="22"/>
          <w:szCs w:val="22"/>
        </w:rPr>
        <w:t>sub-award</w:t>
      </w:r>
      <w:r w:rsidR="009A6C42" w:rsidRPr="00193B95">
        <w:rPr>
          <w:rFonts w:ascii="Arial" w:hAnsi="Arial" w:cs="Arial"/>
          <w:bCs/>
          <w:color w:val="auto"/>
          <w:sz w:val="22"/>
          <w:szCs w:val="22"/>
        </w:rPr>
        <w:t xml:space="preserve">s should be processed for closeout and formally closed within sixty days following the </w:t>
      </w:r>
      <w:r w:rsidR="00CF2101" w:rsidRPr="00193B95">
        <w:rPr>
          <w:rFonts w:ascii="Arial" w:hAnsi="Arial" w:cs="Arial"/>
          <w:bCs/>
          <w:color w:val="auto"/>
          <w:sz w:val="22"/>
          <w:szCs w:val="22"/>
        </w:rPr>
        <w:t>sub-award</w:t>
      </w:r>
      <w:r w:rsidR="009A6C42" w:rsidRPr="00193B95">
        <w:rPr>
          <w:rFonts w:ascii="Arial" w:hAnsi="Arial" w:cs="Arial"/>
          <w:bCs/>
          <w:color w:val="auto"/>
          <w:sz w:val="22"/>
          <w:szCs w:val="22"/>
        </w:rPr>
        <w:t xml:space="preserve"> end date. Depending on the prime </w:t>
      </w:r>
      <w:r w:rsidR="00B94D88" w:rsidRPr="00193B95">
        <w:rPr>
          <w:rFonts w:ascii="Arial" w:hAnsi="Arial" w:cs="Arial"/>
          <w:bCs/>
          <w:color w:val="auto"/>
          <w:sz w:val="22"/>
          <w:szCs w:val="22"/>
        </w:rPr>
        <w:t>award-funding</w:t>
      </w:r>
      <w:r w:rsidR="009A6C42" w:rsidRPr="00193B95">
        <w:rPr>
          <w:rFonts w:ascii="Arial" w:hAnsi="Arial" w:cs="Arial"/>
          <w:bCs/>
          <w:color w:val="auto"/>
          <w:sz w:val="22"/>
          <w:szCs w:val="22"/>
        </w:rPr>
        <w:t xml:space="preserve"> source, closeout may be required sooner.</w:t>
      </w:r>
    </w:p>
    <w:p w14:paraId="4FD8BA19" w14:textId="77777777" w:rsidR="009A6C42" w:rsidRPr="00193B95" w:rsidRDefault="009A6C42" w:rsidP="000D609B">
      <w:pPr>
        <w:pStyle w:val="Default"/>
        <w:rPr>
          <w:rFonts w:ascii="Arial" w:hAnsi="Arial" w:cs="Arial"/>
          <w:bCs/>
          <w:color w:val="auto"/>
          <w:sz w:val="22"/>
          <w:szCs w:val="22"/>
        </w:rPr>
      </w:pPr>
    </w:p>
    <w:p w14:paraId="486825C0" w14:textId="77777777" w:rsidR="009A6C42" w:rsidRPr="00193B95" w:rsidRDefault="009A6C42" w:rsidP="000D609B">
      <w:pPr>
        <w:pStyle w:val="Default"/>
        <w:rPr>
          <w:rFonts w:ascii="Arial" w:hAnsi="Arial" w:cs="Arial"/>
          <w:bCs/>
          <w:color w:val="auto"/>
          <w:sz w:val="22"/>
          <w:szCs w:val="22"/>
        </w:rPr>
      </w:pPr>
      <w:r w:rsidRPr="00193B95">
        <w:rPr>
          <w:rFonts w:ascii="Arial" w:hAnsi="Arial" w:cs="Arial"/>
          <w:bCs/>
          <w:color w:val="auto"/>
          <w:sz w:val="22"/>
          <w:szCs w:val="22"/>
        </w:rPr>
        <w:lastRenderedPageBreak/>
        <w:t>The Principal Investigator is responsible for obtaining technical/progress reports and patent invention documentation f</w:t>
      </w:r>
      <w:r w:rsidR="004C72FF" w:rsidRPr="00193B95">
        <w:rPr>
          <w:rFonts w:ascii="Arial" w:hAnsi="Arial" w:cs="Arial"/>
          <w:bCs/>
          <w:color w:val="auto"/>
          <w:sz w:val="22"/>
          <w:szCs w:val="22"/>
        </w:rPr>
        <w:t>rom</w:t>
      </w:r>
      <w:r w:rsidRPr="00193B95">
        <w:rPr>
          <w:rFonts w:ascii="Arial" w:hAnsi="Arial" w:cs="Arial"/>
          <w:bCs/>
          <w:color w:val="auto"/>
          <w:sz w:val="22"/>
          <w:szCs w:val="22"/>
        </w:rPr>
        <w:t xml:space="preserve"> the </w:t>
      </w:r>
      <w:r w:rsidR="00CF2101" w:rsidRPr="00193B95">
        <w:rPr>
          <w:rFonts w:ascii="Arial" w:hAnsi="Arial" w:cs="Arial"/>
          <w:bCs/>
          <w:color w:val="auto"/>
          <w:sz w:val="22"/>
          <w:szCs w:val="22"/>
        </w:rPr>
        <w:t>sub-recipient</w:t>
      </w:r>
      <w:r w:rsidRPr="00193B95">
        <w:rPr>
          <w:rFonts w:ascii="Arial" w:hAnsi="Arial" w:cs="Arial"/>
          <w:bCs/>
          <w:color w:val="auto"/>
          <w:sz w:val="22"/>
          <w:szCs w:val="22"/>
        </w:rPr>
        <w:t xml:space="preserve">. The Grant Accounting Officer is responsible for obtaining any equipment reports, the final invoice, and the final financial report from the </w:t>
      </w:r>
      <w:r w:rsidR="00CF2101" w:rsidRPr="00193B95">
        <w:rPr>
          <w:rFonts w:ascii="Arial" w:hAnsi="Arial" w:cs="Arial"/>
          <w:bCs/>
          <w:color w:val="auto"/>
          <w:sz w:val="22"/>
          <w:szCs w:val="22"/>
        </w:rPr>
        <w:t>sub-recipient</w:t>
      </w:r>
      <w:r w:rsidRPr="00193B95">
        <w:rPr>
          <w:rFonts w:ascii="Arial" w:hAnsi="Arial" w:cs="Arial"/>
          <w:bCs/>
          <w:color w:val="auto"/>
          <w:sz w:val="22"/>
          <w:szCs w:val="22"/>
        </w:rPr>
        <w:t xml:space="preserve">. The Grant Accounting Officer will coordinate with the Principal Investigator to verify </w:t>
      </w:r>
      <w:r w:rsidR="00CF2101" w:rsidRPr="00193B95">
        <w:rPr>
          <w:rFonts w:ascii="Arial" w:hAnsi="Arial" w:cs="Arial"/>
          <w:bCs/>
          <w:color w:val="auto"/>
          <w:sz w:val="22"/>
          <w:szCs w:val="22"/>
        </w:rPr>
        <w:t>the sub-recipient has met all</w:t>
      </w:r>
      <w:r w:rsidRPr="00193B95">
        <w:rPr>
          <w:rFonts w:ascii="Arial" w:hAnsi="Arial" w:cs="Arial"/>
          <w:bCs/>
          <w:color w:val="auto"/>
          <w:sz w:val="22"/>
          <w:szCs w:val="22"/>
        </w:rPr>
        <w:t xml:space="preserve"> deliverab</w:t>
      </w:r>
      <w:r w:rsidR="00CF2101" w:rsidRPr="00193B95">
        <w:rPr>
          <w:rFonts w:ascii="Arial" w:hAnsi="Arial" w:cs="Arial"/>
          <w:bCs/>
          <w:color w:val="auto"/>
          <w:sz w:val="22"/>
          <w:szCs w:val="22"/>
        </w:rPr>
        <w:t xml:space="preserve">les </w:t>
      </w:r>
      <w:r w:rsidRPr="00193B95">
        <w:rPr>
          <w:rFonts w:ascii="Arial" w:hAnsi="Arial" w:cs="Arial"/>
          <w:bCs/>
          <w:color w:val="auto"/>
          <w:sz w:val="22"/>
          <w:szCs w:val="22"/>
        </w:rPr>
        <w:t>and that the final payment is okay to released.</w:t>
      </w:r>
    </w:p>
    <w:p w14:paraId="5E7D1A54" w14:textId="77777777" w:rsidR="00C23EFE" w:rsidRPr="00193B95" w:rsidRDefault="00C23EFE" w:rsidP="000D609B">
      <w:pPr>
        <w:pStyle w:val="Default"/>
        <w:rPr>
          <w:rFonts w:ascii="Arial" w:hAnsi="Arial" w:cs="Arial"/>
          <w:b/>
          <w:bCs/>
          <w:sz w:val="22"/>
          <w:szCs w:val="22"/>
        </w:rPr>
      </w:pPr>
    </w:p>
    <w:p w14:paraId="0067F1B8" w14:textId="613A59B4" w:rsidR="008E1833" w:rsidRPr="00193B95" w:rsidRDefault="00833B64" w:rsidP="000D609B">
      <w:pPr>
        <w:pStyle w:val="Default"/>
        <w:rPr>
          <w:rFonts w:ascii="Arial" w:hAnsi="Arial" w:cs="Arial"/>
          <w:b/>
          <w:bCs/>
          <w:sz w:val="22"/>
          <w:szCs w:val="22"/>
          <w:u w:val="single"/>
        </w:rPr>
      </w:pPr>
      <w:r w:rsidRPr="00193B95">
        <w:rPr>
          <w:rFonts w:ascii="Arial" w:hAnsi="Arial" w:cs="Arial"/>
          <w:b/>
          <w:bCs/>
          <w:sz w:val="22"/>
          <w:szCs w:val="22"/>
          <w:u w:val="single"/>
        </w:rPr>
        <w:t xml:space="preserve">Rationale </w:t>
      </w:r>
    </w:p>
    <w:p w14:paraId="05F70BEF" w14:textId="44E2AB54" w:rsidR="008F7C24" w:rsidRPr="00193B95" w:rsidRDefault="00B77562" w:rsidP="000D609B">
      <w:pPr>
        <w:pStyle w:val="Default"/>
        <w:rPr>
          <w:rFonts w:ascii="Arial" w:hAnsi="Arial" w:cs="Arial"/>
          <w:b/>
          <w:bCs/>
          <w:sz w:val="22"/>
          <w:szCs w:val="22"/>
        </w:rPr>
      </w:pPr>
      <w:r w:rsidRPr="00193B95">
        <w:rPr>
          <w:rFonts w:ascii="Arial" w:hAnsi="Arial" w:cs="Arial"/>
          <w:bCs/>
          <w:sz w:val="22"/>
          <w:szCs w:val="22"/>
        </w:rPr>
        <w:t xml:space="preserve">Policies and procedures will be in place </w:t>
      </w:r>
      <w:r w:rsidR="00AA22EA" w:rsidRPr="00193B95">
        <w:rPr>
          <w:rFonts w:ascii="Arial" w:hAnsi="Arial" w:cs="Arial"/>
          <w:bCs/>
          <w:sz w:val="22"/>
          <w:szCs w:val="22"/>
        </w:rPr>
        <w:t xml:space="preserve">for </w:t>
      </w:r>
      <w:r w:rsidR="00CF2101" w:rsidRPr="00193B95">
        <w:rPr>
          <w:rFonts w:ascii="Arial" w:hAnsi="Arial" w:cs="Arial"/>
          <w:bCs/>
          <w:sz w:val="22"/>
          <w:szCs w:val="22"/>
        </w:rPr>
        <w:t>Sub-recipient</w:t>
      </w:r>
      <w:r w:rsidR="00AA22EA" w:rsidRPr="00193B95">
        <w:rPr>
          <w:rFonts w:ascii="Arial" w:hAnsi="Arial" w:cs="Arial"/>
          <w:bCs/>
          <w:sz w:val="22"/>
          <w:szCs w:val="22"/>
        </w:rPr>
        <w:t xml:space="preserve">s that </w:t>
      </w:r>
      <w:r w:rsidRPr="00193B95">
        <w:rPr>
          <w:rFonts w:ascii="Arial" w:hAnsi="Arial" w:cs="Arial"/>
          <w:bCs/>
          <w:sz w:val="22"/>
          <w:szCs w:val="22"/>
        </w:rPr>
        <w:t>comply with the accountability guidelines set</w:t>
      </w:r>
      <w:r w:rsidR="00CF2101" w:rsidRPr="00193B95">
        <w:rPr>
          <w:rFonts w:ascii="Arial" w:hAnsi="Arial" w:cs="Arial"/>
          <w:bCs/>
          <w:sz w:val="22"/>
          <w:szCs w:val="22"/>
        </w:rPr>
        <w:t xml:space="preserve"> forth in the “</w:t>
      </w:r>
      <w:r w:rsidR="003637B7" w:rsidRPr="00193B95">
        <w:rPr>
          <w:rFonts w:ascii="Arial" w:hAnsi="Arial" w:cs="Arial"/>
          <w:bCs/>
          <w:sz w:val="22"/>
          <w:szCs w:val="22"/>
        </w:rPr>
        <w:t>OMB Uniform Guidance</w:t>
      </w:r>
      <w:r w:rsidR="00CF2101" w:rsidRPr="00193B95">
        <w:rPr>
          <w:rFonts w:ascii="Arial" w:hAnsi="Arial" w:cs="Arial"/>
          <w:bCs/>
          <w:sz w:val="22"/>
          <w:szCs w:val="22"/>
        </w:rPr>
        <w:t>”. Additionally,</w:t>
      </w:r>
      <w:r w:rsidRPr="00193B95">
        <w:rPr>
          <w:rFonts w:ascii="Arial" w:hAnsi="Arial" w:cs="Arial"/>
          <w:bCs/>
          <w:sz w:val="22"/>
          <w:szCs w:val="22"/>
        </w:rPr>
        <w:t xml:space="preserve"> any individual working with and/or charging time to a grant will have guidelines in place to ensure that the costs incurred are </w:t>
      </w:r>
      <w:r w:rsidRPr="00193B95">
        <w:rPr>
          <w:rFonts w:ascii="Arial" w:eastAsiaTheme="minorEastAsia" w:hAnsi="Arial" w:cs="Arial"/>
          <w:sz w:val="22"/>
          <w:szCs w:val="22"/>
        </w:rPr>
        <w:t>necessary, reasonable, allocable, and allowable according to Federal guidelines.</w:t>
      </w:r>
      <w:r w:rsidRPr="00193B95">
        <w:rPr>
          <w:rFonts w:ascii="Arial" w:hAnsi="Arial" w:cs="Arial"/>
          <w:bCs/>
          <w:sz w:val="22"/>
          <w:szCs w:val="22"/>
        </w:rPr>
        <w:t xml:space="preserve"> </w:t>
      </w:r>
    </w:p>
    <w:p w14:paraId="71917F53" w14:textId="77777777" w:rsidR="00CA3E8F" w:rsidRPr="00193B95" w:rsidRDefault="00CA3E8F" w:rsidP="000D609B">
      <w:pPr>
        <w:pStyle w:val="Default"/>
        <w:rPr>
          <w:rFonts w:ascii="Arial" w:hAnsi="Arial" w:cs="Arial"/>
          <w:b/>
          <w:bCs/>
          <w:sz w:val="22"/>
          <w:szCs w:val="22"/>
        </w:rPr>
      </w:pPr>
    </w:p>
    <w:p w14:paraId="75CE997F" w14:textId="16903665" w:rsidR="00815A92" w:rsidRPr="00193B95" w:rsidRDefault="00815A92" w:rsidP="000D609B">
      <w:pPr>
        <w:pStyle w:val="Default"/>
        <w:rPr>
          <w:rFonts w:ascii="Arial" w:hAnsi="Arial" w:cs="Arial"/>
          <w:b/>
          <w:bCs/>
          <w:sz w:val="22"/>
          <w:szCs w:val="22"/>
          <w:u w:val="single"/>
        </w:rPr>
      </w:pPr>
      <w:r w:rsidRPr="00193B95">
        <w:rPr>
          <w:rFonts w:ascii="Arial" w:hAnsi="Arial" w:cs="Arial"/>
          <w:b/>
          <w:bCs/>
          <w:sz w:val="22"/>
          <w:szCs w:val="22"/>
          <w:u w:val="single"/>
        </w:rPr>
        <w:t>Supporting References</w:t>
      </w:r>
    </w:p>
    <w:p w14:paraId="11E39134" w14:textId="77777777" w:rsidR="008E1833" w:rsidRPr="00193B95" w:rsidRDefault="008E1833" w:rsidP="00B41110">
      <w:pPr>
        <w:pStyle w:val="ListParagraph"/>
        <w:numPr>
          <w:ilvl w:val="0"/>
          <w:numId w:val="15"/>
        </w:numPr>
        <w:rPr>
          <w:rFonts w:ascii="Arial" w:eastAsia="Times New Roman" w:hAnsi="Arial" w:cs="Arial"/>
          <w:i/>
        </w:rPr>
      </w:pPr>
      <w:r w:rsidRPr="00193B95">
        <w:rPr>
          <w:rFonts w:ascii="Arial" w:eastAsia="Times New Roman" w:hAnsi="Arial" w:cs="Arial"/>
        </w:rPr>
        <w:t xml:space="preserve">OMB Circular A-21 Cost Principles for Educational Institutions – </w:t>
      </w:r>
      <w:r w:rsidRPr="00193B95">
        <w:rPr>
          <w:rFonts w:ascii="Arial" w:eastAsia="Times New Roman" w:hAnsi="Arial" w:cs="Arial"/>
          <w:i/>
          <w:color w:val="FF0000"/>
        </w:rPr>
        <w:t xml:space="preserve">superseded by </w:t>
      </w:r>
      <w:r w:rsidR="003637B7" w:rsidRPr="00193B95">
        <w:rPr>
          <w:rFonts w:ascii="Arial" w:eastAsia="Times New Roman" w:hAnsi="Arial" w:cs="Arial"/>
          <w:i/>
          <w:color w:val="FF0000"/>
        </w:rPr>
        <w:t>OMB Uniform Guidance</w:t>
      </w:r>
      <w:r w:rsidR="00B1073B" w:rsidRPr="00193B95">
        <w:rPr>
          <w:rFonts w:ascii="Arial" w:eastAsia="Times New Roman" w:hAnsi="Arial" w:cs="Arial"/>
          <w:i/>
          <w:color w:val="FF0000"/>
        </w:rPr>
        <w:t xml:space="preserve"> (Super Circular)</w:t>
      </w:r>
    </w:p>
    <w:p w14:paraId="6246394D" w14:textId="77777777" w:rsidR="008E1833" w:rsidRPr="00193B95" w:rsidRDefault="008E1833" w:rsidP="003637B7">
      <w:pPr>
        <w:pStyle w:val="ListParagraph"/>
        <w:numPr>
          <w:ilvl w:val="0"/>
          <w:numId w:val="15"/>
        </w:numPr>
        <w:rPr>
          <w:rFonts w:ascii="Arial" w:eastAsia="Times New Roman" w:hAnsi="Arial" w:cs="Arial"/>
          <w:i/>
        </w:rPr>
      </w:pPr>
      <w:r w:rsidRPr="00193B95">
        <w:rPr>
          <w:rFonts w:ascii="Arial" w:eastAsia="Times New Roman" w:hAnsi="Arial" w:cs="Arial"/>
        </w:rPr>
        <w:t xml:space="preserve">OMB Circular A-110 </w:t>
      </w:r>
      <w:r w:rsidRPr="00193B95">
        <w:rPr>
          <w:rFonts w:ascii="Arial" w:eastAsia="Times New Roman" w:hAnsi="Arial" w:cs="Arial"/>
          <w:i/>
        </w:rPr>
        <w:t xml:space="preserve">Uniform Administrative Requirements for Grants and Agreements with Institutions of Higher Education, Hospitals, and Other Non-Profit Organizations – </w:t>
      </w:r>
      <w:r w:rsidRPr="00193B95">
        <w:rPr>
          <w:rFonts w:ascii="Arial" w:eastAsia="Times New Roman" w:hAnsi="Arial" w:cs="Arial"/>
          <w:i/>
          <w:color w:val="FF0000"/>
        </w:rPr>
        <w:t xml:space="preserve">superseded by </w:t>
      </w:r>
      <w:r w:rsidR="003637B7" w:rsidRPr="00193B95">
        <w:rPr>
          <w:rFonts w:ascii="Arial" w:eastAsia="Times New Roman" w:hAnsi="Arial" w:cs="Arial"/>
          <w:i/>
          <w:color w:val="FF0000"/>
        </w:rPr>
        <w:t>OMB Uniform Guidance</w:t>
      </w:r>
      <w:r w:rsidR="00B1073B" w:rsidRPr="00193B95">
        <w:rPr>
          <w:rFonts w:ascii="Arial" w:eastAsia="Times New Roman" w:hAnsi="Arial" w:cs="Arial"/>
          <w:i/>
          <w:color w:val="FF0000"/>
        </w:rPr>
        <w:t xml:space="preserve"> (Super Circular)</w:t>
      </w:r>
    </w:p>
    <w:p w14:paraId="3B112EC4" w14:textId="77777777" w:rsidR="008E1833" w:rsidRPr="00193B95" w:rsidRDefault="008E1833" w:rsidP="003637B7">
      <w:pPr>
        <w:pStyle w:val="ListParagraph"/>
        <w:numPr>
          <w:ilvl w:val="0"/>
          <w:numId w:val="15"/>
        </w:numPr>
        <w:rPr>
          <w:rFonts w:ascii="Arial" w:eastAsia="Times New Roman" w:hAnsi="Arial" w:cs="Arial"/>
          <w:i/>
        </w:rPr>
      </w:pPr>
      <w:r w:rsidRPr="00193B95">
        <w:rPr>
          <w:rFonts w:ascii="Arial" w:eastAsia="Times New Roman" w:hAnsi="Arial" w:cs="Arial"/>
        </w:rPr>
        <w:t xml:space="preserve">OMB Circular A-133 </w:t>
      </w:r>
      <w:r w:rsidRPr="00193B95">
        <w:rPr>
          <w:rFonts w:ascii="Arial" w:eastAsia="Times New Roman" w:hAnsi="Arial" w:cs="Arial"/>
          <w:i/>
        </w:rPr>
        <w:t>Audits of State, Local Governments, and Non-Profit Organizations-</w:t>
      </w:r>
      <w:r w:rsidRPr="00193B95">
        <w:rPr>
          <w:rFonts w:ascii="Arial" w:eastAsia="Times New Roman" w:hAnsi="Arial" w:cs="Arial"/>
          <w:i/>
          <w:color w:val="FF0000"/>
        </w:rPr>
        <w:t xml:space="preserve">superseded by </w:t>
      </w:r>
      <w:r w:rsidR="003637B7" w:rsidRPr="00193B95">
        <w:rPr>
          <w:rFonts w:ascii="Arial" w:eastAsia="Times New Roman" w:hAnsi="Arial" w:cs="Arial"/>
          <w:i/>
          <w:color w:val="FF0000"/>
        </w:rPr>
        <w:t>OMB Uniform Guidance</w:t>
      </w:r>
      <w:r w:rsidR="00B1073B" w:rsidRPr="00193B95">
        <w:rPr>
          <w:rFonts w:ascii="Arial" w:eastAsia="Times New Roman" w:hAnsi="Arial" w:cs="Arial"/>
          <w:i/>
          <w:color w:val="FF0000"/>
        </w:rPr>
        <w:t xml:space="preserve"> (Super Circular)</w:t>
      </w:r>
    </w:p>
    <w:p w14:paraId="1D3BEF58" w14:textId="77777777" w:rsidR="00B41110" w:rsidRPr="00193B95" w:rsidRDefault="00B41110" w:rsidP="00B41110">
      <w:pPr>
        <w:pStyle w:val="ListParagraph"/>
        <w:numPr>
          <w:ilvl w:val="0"/>
          <w:numId w:val="15"/>
        </w:numPr>
        <w:rPr>
          <w:rFonts w:ascii="Arial" w:eastAsia="Times New Roman" w:hAnsi="Arial" w:cs="Arial"/>
          <w:i/>
        </w:rPr>
      </w:pPr>
      <w:r w:rsidRPr="00193B95">
        <w:rPr>
          <w:rFonts w:ascii="Arial" w:hAnsi="Arial" w:cs="Arial"/>
          <w:color w:val="1F1F1F"/>
          <w:shd w:val="clear" w:color="auto" w:fill="FFFFFF"/>
        </w:rPr>
        <w:t>Office of Management and Budget Circular Uniform Administrative Requirements, Cost Principles, and Audit Requirements for Federal Awards ("Uniform Guidance")</w:t>
      </w:r>
    </w:p>
    <w:p w14:paraId="2D44B496" w14:textId="77777777" w:rsidR="00C311C0" w:rsidRPr="00193B95" w:rsidRDefault="00C311C0" w:rsidP="000D609B">
      <w:pPr>
        <w:rPr>
          <w:rFonts w:ascii="Arial" w:hAnsi="Arial" w:cs="Arial"/>
        </w:rPr>
      </w:pPr>
    </w:p>
    <w:sectPr w:rsidR="00C311C0" w:rsidRPr="00193B95" w:rsidSect="00193B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5036" w14:textId="77777777" w:rsidR="00C52889" w:rsidRDefault="00C52889" w:rsidP="00B0215A">
      <w:pPr>
        <w:spacing w:after="0" w:line="240" w:lineRule="auto"/>
      </w:pPr>
      <w:r>
        <w:separator/>
      </w:r>
    </w:p>
  </w:endnote>
  <w:endnote w:type="continuationSeparator" w:id="0">
    <w:p w14:paraId="4FE3A368" w14:textId="77777777" w:rsidR="00C52889" w:rsidRDefault="00C52889" w:rsidP="00B0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EE8B" w14:textId="77777777" w:rsidR="00F6501B" w:rsidRDefault="00F65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3"/>
      <w:gridCol w:w="1050"/>
      <w:gridCol w:w="1165"/>
      <w:gridCol w:w="368"/>
      <w:gridCol w:w="1530"/>
      <w:gridCol w:w="2701"/>
      <w:gridCol w:w="512"/>
    </w:tblGrid>
    <w:tr w:rsidR="00193B95" w14:paraId="2AC1F0BD" w14:textId="77777777" w:rsidTr="00896D19">
      <w:trPr>
        <w:trHeight w:val="65"/>
      </w:trPr>
      <w:tc>
        <w:tcPr>
          <w:tcW w:w="6816" w:type="dxa"/>
          <w:gridSpan w:val="5"/>
        </w:tcPr>
        <w:p w14:paraId="45B67852" w14:textId="77777777" w:rsidR="00193B95" w:rsidRDefault="00193B95" w:rsidP="00193B95">
          <w:pPr>
            <w:pStyle w:val="TableParagraph"/>
            <w:spacing w:before="2" w:line="204" w:lineRule="exact"/>
            <w:ind w:left="107" w:right="60"/>
            <w:rPr>
              <w:sz w:val="18"/>
            </w:rPr>
          </w:pPr>
          <w:r>
            <w:rPr>
              <w:sz w:val="18"/>
              <w:u w:val="single"/>
            </w:rPr>
            <w:t>The most current documentation is electronic; therefore, please discard printed</w:t>
          </w:r>
          <w:r>
            <w:rPr>
              <w:sz w:val="18"/>
            </w:rPr>
            <w:t xml:space="preserve"> copy after 24 hours. This does not apply to completed forms which are records.</w:t>
          </w:r>
        </w:p>
      </w:tc>
      <w:tc>
        <w:tcPr>
          <w:tcW w:w="3213" w:type="dxa"/>
          <w:gridSpan w:val="2"/>
        </w:tcPr>
        <w:p w14:paraId="0432C526" w14:textId="77777777" w:rsidR="00193B95" w:rsidRDefault="00193B95" w:rsidP="00193B95">
          <w:pPr>
            <w:pStyle w:val="TableParagraph"/>
            <w:spacing w:line="203" w:lineRule="exact"/>
            <w:ind w:left="104"/>
            <w:rPr>
              <w:sz w:val="18"/>
            </w:rPr>
          </w:pPr>
          <w:r>
            <w:rPr>
              <w:sz w:val="18"/>
            </w:rPr>
            <w:t xml:space="preserve">Print Date: </w:t>
          </w:r>
        </w:p>
      </w:tc>
    </w:tr>
    <w:tr w:rsidR="00193B95" w14:paraId="1170E87A" w14:textId="77777777" w:rsidTr="00896D19">
      <w:trPr>
        <w:trHeight w:val="285"/>
      </w:trPr>
      <w:tc>
        <w:tcPr>
          <w:tcW w:w="2703" w:type="dxa"/>
          <w:tcBorders>
            <w:top w:val="thinThickMediumGap" w:sz="3" w:space="0" w:color="000000"/>
          </w:tcBorders>
          <w:vAlign w:val="center"/>
        </w:tcPr>
        <w:p w14:paraId="6D3D4365" w14:textId="77777777" w:rsidR="00193B95" w:rsidRDefault="00193B95" w:rsidP="00193B95">
          <w:pPr>
            <w:pStyle w:val="TableParagraph"/>
            <w:ind w:left="107"/>
            <w:rPr>
              <w:sz w:val="18"/>
            </w:rPr>
          </w:pPr>
          <w:r>
            <w:rPr>
              <w:sz w:val="18"/>
            </w:rPr>
            <w:t>Document Number: 7###-#-##</w:t>
          </w:r>
        </w:p>
      </w:tc>
      <w:tc>
        <w:tcPr>
          <w:tcW w:w="2215" w:type="dxa"/>
          <w:gridSpan w:val="2"/>
          <w:tcBorders>
            <w:top w:val="thinThickMediumGap" w:sz="3" w:space="0" w:color="000000"/>
          </w:tcBorders>
          <w:vAlign w:val="center"/>
        </w:tcPr>
        <w:p w14:paraId="624F777F" w14:textId="77777777" w:rsidR="00193B95" w:rsidRDefault="00193B95" w:rsidP="00193B95">
          <w:pPr>
            <w:pStyle w:val="TableParagraph"/>
            <w:ind w:left="107"/>
            <w:rPr>
              <w:sz w:val="18"/>
            </w:rPr>
          </w:pPr>
          <w:r>
            <w:rPr>
              <w:sz w:val="18"/>
            </w:rPr>
            <w:t xml:space="preserve">Rev. </w:t>
          </w:r>
        </w:p>
      </w:tc>
      <w:tc>
        <w:tcPr>
          <w:tcW w:w="1898" w:type="dxa"/>
          <w:gridSpan w:val="2"/>
          <w:vAlign w:val="center"/>
        </w:tcPr>
        <w:p w14:paraId="1DA81C14" w14:textId="77777777" w:rsidR="00193B95" w:rsidRDefault="00193B95" w:rsidP="00193B95">
          <w:pPr>
            <w:pStyle w:val="TableParagraph"/>
            <w:ind w:left="105"/>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4</w:t>
          </w:r>
        </w:p>
      </w:tc>
      <w:tc>
        <w:tcPr>
          <w:tcW w:w="3213" w:type="dxa"/>
          <w:gridSpan w:val="2"/>
          <w:vAlign w:val="center"/>
        </w:tcPr>
        <w:p w14:paraId="5549F60B" w14:textId="77777777" w:rsidR="00193B95" w:rsidRDefault="00193B95" w:rsidP="00193B95">
          <w:pPr>
            <w:pStyle w:val="TableParagraph"/>
            <w:ind w:left="104"/>
            <w:rPr>
              <w:sz w:val="18"/>
            </w:rPr>
          </w:pPr>
          <w:r>
            <w:rPr>
              <w:sz w:val="18"/>
            </w:rPr>
            <w:t>Level #1</w:t>
          </w:r>
        </w:p>
      </w:tc>
    </w:tr>
    <w:tr w:rsidR="00193B95" w14:paraId="0E673D93" w14:textId="77777777" w:rsidTr="00896D19">
      <w:trPr>
        <w:trHeight w:val="203"/>
      </w:trPr>
      <w:tc>
        <w:tcPr>
          <w:tcW w:w="6816" w:type="dxa"/>
          <w:gridSpan w:val="5"/>
        </w:tcPr>
        <w:p w14:paraId="33935A0D" w14:textId="60FB07FF" w:rsidR="00193B95" w:rsidRDefault="00193B95" w:rsidP="00193B95">
          <w:pPr>
            <w:pStyle w:val="TableParagraph"/>
            <w:spacing w:line="183" w:lineRule="exact"/>
            <w:ind w:left="107"/>
            <w:rPr>
              <w:sz w:val="18"/>
            </w:rPr>
          </w:pPr>
          <w:r>
            <w:rPr>
              <w:sz w:val="18"/>
            </w:rPr>
            <w:t xml:space="preserve">Title: </w:t>
          </w:r>
          <w:r w:rsidR="00F6501B">
            <w:rPr>
              <w:sz w:val="18"/>
            </w:rPr>
            <w:t>Sub-recipient Monitoring</w:t>
          </w:r>
          <w:bookmarkStart w:id="0" w:name="_GoBack"/>
          <w:bookmarkEnd w:id="0"/>
          <w:r>
            <w:rPr>
              <w:sz w:val="18"/>
            </w:rPr>
            <w:t xml:space="preserve"> for Grants &amp; Sponsored Programs</w:t>
          </w:r>
        </w:p>
      </w:tc>
      <w:tc>
        <w:tcPr>
          <w:tcW w:w="3213" w:type="dxa"/>
          <w:gridSpan w:val="2"/>
        </w:tcPr>
        <w:p w14:paraId="36F2745F" w14:textId="77777777" w:rsidR="00193B95" w:rsidRDefault="00193B95" w:rsidP="00193B95">
          <w:pPr>
            <w:pStyle w:val="TableParagraph"/>
            <w:spacing w:line="183" w:lineRule="exact"/>
            <w:ind w:left="104"/>
            <w:rPr>
              <w:sz w:val="18"/>
            </w:rPr>
          </w:pPr>
          <w:r>
            <w:rPr>
              <w:sz w:val="18"/>
            </w:rPr>
            <w:t xml:space="preserve">Implementation Date: </w:t>
          </w:r>
        </w:p>
      </w:tc>
    </w:tr>
    <w:tr w:rsidR="00193B95" w14:paraId="2E204F4E" w14:textId="77777777" w:rsidTr="00896D19">
      <w:trPr>
        <w:trHeight w:val="203"/>
      </w:trPr>
      <w:tc>
        <w:tcPr>
          <w:tcW w:w="3753" w:type="dxa"/>
          <w:gridSpan w:val="2"/>
        </w:tcPr>
        <w:p w14:paraId="29B1FACF" w14:textId="77777777" w:rsidR="00193B95" w:rsidRDefault="00193B95" w:rsidP="00193B95">
          <w:pPr>
            <w:pStyle w:val="TableParagraph"/>
            <w:spacing w:line="183" w:lineRule="exact"/>
            <w:ind w:left="107"/>
            <w:rPr>
              <w:sz w:val="18"/>
            </w:rPr>
          </w:pPr>
          <w:r>
            <w:rPr>
              <w:sz w:val="18"/>
            </w:rPr>
            <w:t xml:space="preserve">Approved: </w:t>
          </w:r>
        </w:p>
      </w:tc>
      <w:tc>
        <w:tcPr>
          <w:tcW w:w="1533" w:type="dxa"/>
          <w:gridSpan w:val="2"/>
        </w:tcPr>
        <w:p w14:paraId="2BEF98D7" w14:textId="77777777" w:rsidR="00193B95" w:rsidRDefault="00193B95" w:rsidP="00193B95">
          <w:pPr>
            <w:pStyle w:val="TableParagraph"/>
            <w:spacing w:line="183" w:lineRule="exact"/>
            <w:ind w:left="106"/>
            <w:rPr>
              <w:sz w:val="18"/>
            </w:rPr>
          </w:pPr>
          <w:r>
            <w:rPr>
              <w:sz w:val="18"/>
            </w:rPr>
            <w:t xml:space="preserve">Date: </w:t>
          </w:r>
        </w:p>
      </w:tc>
      <w:tc>
        <w:tcPr>
          <w:tcW w:w="4231" w:type="dxa"/>
          <w:gridSpan w:val="2"/>
          <w:shd w:val="clear" w:color="auto" w:fill="CCFFFF"/>
        </w:tcPr>
        <w:p w14:paraId="21C72814" w14:textId="77777777" w:rsidR="00193B95" w:rsidRDefault="00193B95" w:rsidP="00193B95">
          <w:pPr>
            <w:pStyle w:val="TableParagraph"/>
            <w:spacing w:line="182" w:lineRule="exact"/>
            <w:ind w:left="105"/>
            <w:rPr>
              <w:sz w:val="16"/>
            </w:rPr>
          </w:pPr>
          <w:r>
            <w:rPr>
              <w:sz w:val="16"/>
            </w:rPr>
            <w:t>Check here if policy should appear in student handbook:</w:t>
          </w:r>
        </w:p>
      </w:tc>
      <w:tc>
        <w:tcPr>
          <w:tcW w:w="512" w:type="dxa"/>
          <w:shd w:val="clear" w:color="auto" w:fill="CCFFFF"/>
        </w:tcPr>
        <w:p w14:paraId="7059550A" w14:textId="77777777" w:rsidR="00193B95" w:rsidRDefault="00193B95" w:rsidP="00193B95">
          <w:pPr>
            <w:pStyle w:val="TableParagraph"/>
            <w:spacing w:line="240" w:lineRule="auto"/>
            <w:ind w:left="0"/>
            <w:rPr>
              <w:rFonts w:ascii="Times New Roman"/>
              <w:sz w:val="14"/>
            </w:rPr>
          </w:pPr>
        </w:p>
      </w:tc>
    </w:tr>
  </w:tbl>
  <w:p w14:paraId="5848648D" w14:textId="77777777" w:rsidR="00193B95" w:rsidRDefault="00193B95" w:rsidP="00193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F55DE" w14:textId="77777777" w:rsidR="00F6501B" w:rsidRDefault="00F65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C38AD" w14:textId="77777777" w:rsidR="00C52889" w:rsidRDefault="00C52889" w:rsidP="00B0215A">
      <w:pPr>
        <w:spacing w:after="0" w:line="240" w:lineRule="auto"/>
      </w:pPr>
      <w:r>
        <w:separator/>
      </w:r>
    </w:p>
  </w:footnote>
  <w:footnote w:type="continuationSeparator" w:id="0">
    <w:p w14:paraId="39F24648" w14:textId="77777777" w:rsidR="00C52889" w:rsidRDefault="00C52889" w:rsidP="00B02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8C16" w14:textId="77777777" w:rsidR="00F6501B" w:rsidRDefault="00F65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0DEA" w14:textId="77777777" w:rsidR="00193B95" w:rsidRDefault="00193B95" w:rsidP="00193B9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01F5DFD" wp14:editId="3E657EE3">
              <wp:simplePos x="0" y="0"/>
              <wp:positionH relativeFrom="page">
                <wp:posOffset>5166995</wp:posOffset>
              </wp:positionH>
              <wp:positionV relativeFrom="page">
                <wp:posOffset>446405</wp:posOffset>
              </wp:positionV>
              <wp:extent cx="1707515" cy="153670"/>
              <wp:effectExtent l="444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3647" w14:textId="77777777" w:rsidR="00193B95" w:rsidRPr="00277BE2" w:rsidRDefault="00193B95" w:rsidP="00193B95">
                          <w:pPr>
                            <w:spacing w:before="14"/>
                            <w:ind w:left="20"/>
                            <w:rPr>
                              <w:rFonts w:ascii="Arial" w:hAnsi="Arial" w:cs="Arial"/>
                              <w:sz w:val="18"/>
                            </w:rPr>
                          </w:pPr>
                          <w:r w:rsidRPr="00277BE2">
                            <w:rPr>
                              <w:rFonts w:ascii="Arial" w:hAnsi="Arial" w:cs="Arial"/>
                              <w:sz w:val="18"/>
                            </w:rPr>
                            <w:t>NTC Policy Management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5DFD" id="_x0000_t202" coordsize="21600,21600" o:spt="202" path="m,l,21600r21600,l21600,xe">
              <v:stroke joinstyle="miter"/>
              <v:path gradientshapeok="t" o:connecttype="rect"/>
            </v:shapetype>
            <v:shape id="Text Box 1" o:spid="_x0000_s1026" type="#_x0000_t202" style="position:absolute;margin-left:406.85pt;margin-top:35.15pt;width:134.4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" filled="f" stroked="f">
              <v:textbox inset="0,0,0,0">
                <w:txbxContent>
                  <w:p w14:paraId="3FA43647" w14:textId="77777777" w:rsidR="00193B95" w:rsidRPr="00277BE2" w:rsidRDefault="00193B95" w:rsidP="00193B95">
                    <w:pPr>
                      <w:spacing w:before="14"/>
                      <w:ind w:left="20"/>
                      <w:rPr>
                        <w:rFonts w:ascii="Arial" w:hAnsi="Arial" w:cs="Arial"/>
                        <w:sz w:val="18"/>
                      </w:rPr>
                    </w:pPr>
                    <w:r w:rsidRPr="00277BE2">
                      <w:rPr>
                        <w:rFonts w:ascii="Arial" w:hAnsi="Arial" w:cs="Arial"/>
                        <w:sz w:val="18"/>
                      </w:rPr>
                      <w:t>NTC Policy Management System</w:t>
                    </w:r>
                  </w:p>
                </w:txbxContent>
              </v:textbox>
              <w10:wrap anchorx="page" anchory="page"/>
            </v:shape>
          </w:pict>
        </mc:Fallback>
      </mc:AlternateContent>
    </w:r>
  </w:p>
  <w:p w14:paraId="2DBFBF6C" w14:textId="77777777" w:rsidR="00193B95" w:rsidRDefault="00193B95" w:rsidP="00193B95">
    <w:pPr>
      <w:pStyle w:val="Header"/>
    </w:pPr>
  </w:p>
  <w:p w14:paraId="3F562AB3" w14:textId="77777777" w:rsidR="00193B95" w:rsidRDefault="00193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8ECE" w14:textId="77777777" w:rsidR="00F6501B" w:rsidRDefault="00F65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E28"/>
    <w:multiLevelType w:val="hybridMultilevel"/>
    <w:tmpl w:val="98E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2BEF"/>
    <w:multiLevelType w:val="hybridMultilevel"/>
    <w:tmpl w:val="5164BEC8"/>
    <w:lvl w:ilvl="0" w:tplc="EC4CDE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677B6"/>
    <w:multiLevelType w:val="hybridMultilevel"/>
    <w:tmpl w:val="AC361FD2"/>
    <w:lvl w:ilvl="0" w:tplc="EC4CDE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68F6"/>
    <w:multiLevelType w:val="hybridMultilevel"/>
    <w:tmpl w:val="D0F6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A15F9"/>
    <w:multiLevelType w:val="hybridMultilevel"/>
    <w:tmpl w:val="9800E6A4"/>
    <w:lvl w:ilvl="0" w:tplc="147AD3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27424"/>
    <w:multiLevelType w:val="hybridMultilevel"/>
    <w:tmpl w:val="D5A2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E034E"/>
    <w:multiLevelType w:val="hybridMultilevel"/>
    <w:tmpl w:val="FC109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C7292"/>
    <w:multiLevelType w:val="hybridMultilevel"/>
    <w:tmpl w:val="FC109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52D7D"/>
    <w:multiLevelType w:val="hybridMultilevel"/>
    <w:tmpl w:val="6212DB20"/>
    <w:lvl w:ilvl="0" w:tplc="BA2CD5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B5FB0"/>
    <w:multiLevelType w:val="hybridMultilevel"/>
    <w:tmpl w:val="72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93690"/>
    <w:multiLevelType w:val="multilevel"/>
    <w:tmpl w:val="CBE23B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1D0152"/>
    <w:multiLevelType w:val="hybridMultilevel"/>
    <w:tmpl w:val="322637EC"/>
    <w:lvl w:ilvl="0" w:tplc="EC4CDE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35B6F"/>
    <w:multiLevelType w:val="hybridMultilevel"/>
    <w:tmpl w:val="05525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948AE"/>
    <w:multiLevelType w:val="hybridMultilevel"/>
    <w:tmpl w:val="E552F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5489E"/>
    <w:multiLevelType w:val="hybridMultilevel"/>
    <w:tmpl w:val="446C66B4"/>
    <w:lvl w:ilvl="0" w:tplc="D4B4A422">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4DE6FEE"/>
    <w:multiLevelType w:val="hybridMultilevel"/>
    <w:tmpl w:val="8F38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95459"/>
    <w:multiLevelType w:val="multilevel"/>
    <w:tmpl w:val="3FF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757D31"/>
    <w:multiLevelType w:val="hybridMultilevel"/>
    <w:tmpl w:val="31CCC1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52210D"/>
    <w:multiLevelType w:val="hybridMultilevel"/>
    <w:tmpl w:val="5E16F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E7810"/>
    <w:multiLevelType w:val="hybridMultilevel"/>
    <w:tmpl w:val="56D0C4F2"/>
    <w:lvl w:ilvl="0" w:tplc="1DC6A6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5360F"/>
    <w:multiLevelType w:val="hybridMultilevel"/>
    <w:tmpl w:val="AA2287F8"/>
    <w:lvl w:ilvl="0" w:tplc="5218F2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9"/>
  </w:num>
  <w:num w:numId="4">
    <w:abstractNumId w:val="8"/>
  </w:num>
  <w:num w:numId="5">
    <w:abstractNumId w:val="0"/>
  </w:num>
  <w:num w:numId="6">
    <w:abstractNumId w:val="20"/>
  </w:num>
  <w:num w:numId="7">
    <w:abstractNumId w:val="13"/>
  </w:num>
  <w:num w:numId="8">
    <w:abstractNumId w:val="18"/>
  </w:num>
  <w:num w:numId="9">
    <w:abstractNumId w:val="4"/>
  </w:num>
  <w:num w:numId="10">
    <w:abstractNumId w:val="5"/>
  </w:num>
  <w:num w:numId="11">
    <w:abstractNumId w:val="6"/>
  </w:num>
  <w:num w:numId="12">
    <w:abstractNumId w:val="7"/>
  </w:num>
  <w:num w:numId="13">
    <w:abstractNumId w:val="12"/>
  </w:num>
  <w:num w:numId="14">
    <w:abstractNumId w:val="19"/>
  </w:num>
  <w:num w:numId="15">
    <w:abstractNumId w:val="11"/>
  </w:num>
  <w:num w:numId="16">
    <w:abstractNumId w:val="16"/>
  </w:num>
  <w:num w:numId="17">
    <w:abstractNumId w:val="10"/>
  </w:num>
  <w:num w:numId="18">
    <w:abstractNumId w:val="2"/>
  </w:num>
  <w:num w:numId="19">
    <w:abstractNumId w:val="1"/>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9B"/>
    <w:rsid w:val="00016567"/>
    <w:rsid w:val="00055768"/>
    <w:rsid w:val="000A2791"/>
    <w:rsid w:val="000B7384"/>
    <w:rsid w:val="000D5490"/>
    <w:rsid w:val="000D609B"/>
    <w:rsid w:val="00165EE8"/>
    <w:rsid w:val="00166604"/>
    <w:rsid w:val="00185DB2"/>
    <w:rsid w:val="00193B95"/>
    <w:rsid w:val="001C09C8"/>
    <w:rsid w:val="00233700"/>
    <w:rsid w:val="0027406E"/>
    <w:rsid w:val="00292645"/>
    <w:rsid w:val="002A6D85"/>
    <w:rsid w:val="002B73DA"/>
    <w:rsid w:val="0030358C"/>
    <w:rsid w:val="003637B7"/>
    <w:rsid w:val="00376F34"/>
    <w:rsid w:val="00444661"/>
    <w:rsid w:val="004861EF"/>
    <w:rsid w:val="004C72FF"/>
    <w:rsid w:val="0055090C"/>
    <w:rsid w:val="005579CE"/>
    <w:rsid w:val="00571383"/>
    <w:rsid w:val="005C756F"/>
    <w:rsid w:val="0062041A"/>
    <w:rsid w:val="00621700"/>
    <w:rsid w:val="006317FD"/>
    <w:rsid w:val="00694179"/>
    <w:rsid w:val="006B2FC9"/>
    <w:rsid w:val="006D71F6"/>
    <w:rsid w:val="00710600"/>
    <w:rsid w:val="0072528A"/>
    <w:rsid w:val="00772D9C"/>
    <w:rsid w:val="00815A92"/>
    <w:rsid w:val="00833B64"/>
    <w:rsid w:val="00836C73"/>
    <w:rsid w:val="008553DD"/>
    <w:rsid w:val="008756B9"/>
    <w:rsid w:val="008A243A"/>
    <w:rsid w:val="008E1833"/>
    <w:rsid w:val="008F6FF9"/>
    <w:rsid w:val="008F7C24"/>
    <w:rsid w:val="00945E42"/>
    <w:rsid w:val="00976775"/>
    <w:rsid w:val="009A6C42"/>
    <w:rsid w:val="009B4A33"/>
    <w:rsid w:val="00A2216C"/>
    <w:rsid w:val="00A900FC"/>
    <w:rsid w:val="00AA22EA"/>
    <w:rsid w:val="00AC7361"/>
    <w:rsid w:val="00B0215A"/>
    <w:rsid w:val="00B1073B"/>
    <w:rsid w:val="00B41110"/>
    <w:rsid w:val="00B77562"/>
    <w:rsid w:val="00B91E35"/>
    <w:rsid w:val="00B94D88"/>
    <w:rsid w:val="00C23EFE"/>
    <w:rsid w:val="00C311C0"/>
    <w:rsid w:val="00C363DB"/>
    <w:rsid w:val="00C52889"/>
    <w:rsid w:val="00CA3E8F"/>
    <w:rsid w:val="00CF2101"/>
    <w:rsid w:val="00D113D5"/>
    <w:rsid w:val="00D74DF7"/>
    <w:rsid w:val="00D944A0"/>
    <w:rsid w:val="00DE4300"/>
    <w:rsid w:val="00DF0675"/>
    <w:rsid w:val="00E21DF1"/>
    <w:rsid w:val="00E339BD"/>
    <w:rsid w:val="00E51BBD"/>
    <w:rsid w:val="00E70940"/>
    <w:rsid w:val="00EA6719"/>
    <w:rsid w:val="00EE5A36"/>
    <w:rsid w:val="00F07024"/>
    <w:rsid w:val="00F369F9"/>
    <w:rsid w:val="00F440ED"/>
    <w:rsid w:val="00F54E00"/>
    <w:rsid w:val="00F62A3F"/>
    <w:rsid w:val="00F6501B"/>
    <w:rsid w:val="00FE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7C25F"/>
  <w15:docId w15:val="{2AAA3D7E-A8E9-4E9C-8035-46043EE2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09B"/>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B02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15A"/>
  </w:style>
  <w:style w:type="paragraph" w:styleId="Footer">
    <w:name w:val="footer"/>
    <w:basedOn w:val="Normal"/>
    <w:link w:val="FooterChar"/>
    <w:uiPriority w:val="99"/>
    <w:unhideWhenUsed/>
    <w:rsid w:val="00B02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15A"/>
  </w:style>
  <w:style w:type="paragraph" w:styleId="ListParagraph">
    <w:name w:val="List Paragraph"/>
    <w:basedOn w:val="Normal"/>
    <w:uiPriority w:val="34"/>
    <w:qFormat/>
    <w:rsid w:val="00444661"/>
    <w:pPr>
      <w:spacing w:after="0" w:line="240" w:lineRule="auto"/>
      <w:ind w:left="720"/>
      <w:contextualSpacing/>
    </w:pPr>
    <w:rPr>
      <w:rFonts w:ascii="Times New Roman" w:hAnsi="Times New Roman"/>
    </w:rPr>
  </w:style>
  <w:style w:type="paragraph" w:styleId="NoSpacing">
    <w:name w:val="No Spacing"/>
    <w:uiPriority w:val="1"/>
    <w:qFormat/>
    <w:rsid w:val="006317FD"/>
    <w:pPr>
      <w:spacing w:after="0" w:line="240" w:lineRule="auto"/>
    </w:pPr>
  </w:style>
  <w:style w:type="character" w:styleId="Hyperlink">
    <w:name w:val="Hyperlink"/>
    <w:basedOn w:val="DefaultParagraphFont"/>
    <w:uiPriority w:val="99"/>
    <w:unhideWhenUsed/>
    <w:rsid w:val="00976775"/>
    <w:rPr>
      <w:color w:val="0000FF" w:themeColor="hyperlink"/>
      <w:u w:val="single"/>
    </w:rPr>
  </w:style>
  <w:style w:type="character" w:styleId="Emphasis">
    <w:name w:val="Emphasis"/>
    <w:basedOn w:val="DefaultParagraphFont"/>
    <w:uiPriority w:val="20"/>
    <w:qFormat/>
    <w:rsid w:val="005579CE"/>
    <w:rPr>
      <w:i/>
      <w:iCs/>
    </w:rPr>
  </w:style>
  <w:style w:type="paragraph" w:customStyle="1" w:styleId="TableParagraph">
    <w:name w:val="Table Paragraph"/>
    <w:basedOn w:val="Normal"/>
    <w:uiPriority w:val="1"/>
    <w:qFormat/>
    <w:rsid w:val="00193B95"/>
    <w:pPr>
      <w:widowControl w:val="0"/>
      <w:autoSpaceDE w:val="0"/>
      <w:autoSpaceDN w:val="0"/>
      <w:spacing w:after="0" w:line="173" w:lineRule="exact"/>
      <w:ind w:left="78"/>
    </w:pPr>
    <w:rPr>
      <w:rFonts w:ascii="Arial" w:eastAsia="Arial" w:hAnsi="Arial" w:cs="Arial"/>
      <w:lang w:bidi="en-US"/>
    </w:rPr>
  </w:style>
  <w:style w:type="paragraph" w:styleId="BodyText">
    <w:name w:val="Body Text"/>
    <w:basedOn w:val="Normal"/>
    <w:link w:val="BodyTextChar"/>
    <w:uiPriority w:val="1"/>
    <w:qFormat/>
    <w:rsid w:val="00193B95"/>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193B9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srs.gov/inde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BSU</dc:creator>
  <cp:lastModifiedBy>Dahlke, Russell L</cp:lastModifiedBy>
  <cp:revision>9</cp:revision>
  <cp:lastPrinted>2014-08-05T14:06:00Z</cp:lastPrinted>
  <dcterms:created xsi:type="dcterms:W3CDTF">2018-09-12T13:55:00Z</dcterms:created>
  <dcterms:modified xsi:type="dcterms:W3CDTF">2020-01-31T21:09:00Z</dcterms:modified>
</cp:coreProperties>
</file>