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50A82" w14:textId="77777777" w:rsidR="0020782B" w:rsidRPr="0020782B" w:rsidRDefault="0020782B" w:rsidP="0020782B">
      <w:pPr>
        <w:pStyle w:val="Default"/>
        <w:rPr>
          <w:rFonts w:ascii="Arial" w:hAnsi="Arial" w:cs="Arial"/>
          <w:b/>
          <w:bCs/>
          <w:lang w:bidi="en-US"/>
        </w:rPr>
      </w:pPr>
      <w:r w:rsidRPr="0020782B">
        <w:rPr>
          <w:rFonts w:ascii="Arial" w:hAnsi="Arial" w:cs="Arial"/>
          <w:b/>
          <w:bCs/>
          <w:lang w:bidi="en-US"/>
        </w:rPr>
        <w:t>DIN:</w:t>
      </w:r>
      <w:r w:rsidRPr="0020782B">
        <w:rPr>
          <w:rFonts w:ascii="Arial" w:hAnsi="Arial" w:cs="Arial"/>
          <w:b/>
          <w:bCs/>
          <w:lang w:bidi="en-US"/>
        </w:rPr>
        <w:tab/>
        <w:t>7###-#-## (TBD)</w:t>
      </w:r>
    </w:p>
    <w:p w14:paraId="5360CB15" w14:textId="0DE77587" w:rsidR="0020782B" w:rsidRPr="0020782B" w:rsidRDefault="0020782B" w:rsidP="0020782B">
      <w:pPr>
        <w:pStyle w:val="Default"/>
        <w:rPr>
          <w:rFonts w:ascii="Arial" w:hAnsi="Arial" w:cs="Arial"/>
          <w:b/>
        </w:rPr>
      </w:pPr>
      <w:r w:rsidRPr="0020782B">
        <w:rPr>
          <w:rFonts w:ascii="Arial" w:hAnsi="Arial" w:cs="Arial"/>
          <w:b/>
        </w:rPr>
        <w:t>Name of Process:</w:t>
      </w:r>
      <w:r w:rsidRPr="0020782B">
        <w:rPr>
          <w:rFonts w:ascii="Arial" w:hAnsi="Arial" w:cs="Arial"/>
          <w:b/>
        </w:rPr>
        <w:tab/>
      </w:r>
      <w:r w:rsidRPr="0020782B">
        <w:rPr>
          <w:rFonts w:ascii="Arial" w:hAnsi="Arial" w:cs="Arial"/>
          <w:b/>
        </w:rPr>
        <w:t xml:space="preserve">Policies &amp; Procedures for </w:t>
      </w:r>
      <w:r w:rsidRPr="0020782B">
        <w:rPr>
          <w:rFonts w:ascii="Arial" w:hAnsi="Arial" w:cs="Arial"/>
          <w:b/>
        </w:rPr>
        <w:t>Grants &amp; Sponsored Programs</w:t>
      </w:r>
    </w:p>
    <w:p w14:paraId="01325DE5" w14:textId="4BC736B3" w:rsidR="000D609B" w:rsidRPr="0020782B" w:rsidRDefault="000D609B" w:rsidP="000D609B">
      <w:pPr>
        <w:pStyle w:val="Default"/>
        <w:rPr>
          <w:rFonts w:ascii="Arial" w:hAnsi="Arial" w:cs="Arial"/>
        </w:rPr>
      </w:pPr>
    </w:p>
    <w:p w14:paraId="616B2675" w14:textId="77777777" w:rsidR="000D609B" w:rsidRPr="0020782B" w:rsidRDefault="000D609B" w:rsidP="000D609B">
      <w:pPr>
        <w:pStyle w:val="Default"/>
        <w:rPr>
          <w:rFonts w:ascii="Arial" w:hAnsi="Arial" w:cs="Arial"/>
        </w:rPr>
      </w:pPr>
    </w:p>
    <w:p w14:paraId="6FB25C8E" w14:textId="5E54C494" w:rsidR="0020782B" w:rsidRPr="0020782B" w:rsidRDefault="000D609B" w:rsidP="000D609B">
      <w:pPr>
        <w:pStyle w:val="Default"/>
        <w:rPr>
          <w:rFonts w:ascii="Arial" w:hAnsi="Arial" w:cs="Arial"/>
          <w:b/>
          <w:bCs/>
          <w:sz w:val="22"/>
          <w:szCs w:val="22"/>
          <w:u w:val="single"/>
        </w:rPr>
      </w:pPr>
      <w:r w:rsidRPr="0020782B">
        <w:rPr>
          <w:rFonts w:ascii="Arial" w:hAnsi="Arial" w:cs="Arial"/>
          <w:b/>
          <w:bCs/>
          <w:sz w:val="22"/>
          <w:szCs w:val="22"/>
          <w:u w:val="single"/>
        </w:rPr>
        <w:t xml:space="preserve">Policy </w:t>
      </w:r>
      <w:r w:rsidR="00815A92" w:rsidRPr="0020782B">
        <w:rPr>
          <w:rFonts w:ascii="Arial" w:hAnsi="Arial" w:cs="Arial"/>
          <w:b/>
          <w:bCs/>
          <w:sz w:val="22"/>
          <w:szCs w:val="22"/>
          <w:u w:val="single"/>
        </w:rPr>
        <w:t>Statement</w:t>
      </w:r>
      <w:r w:rsidR="00EA6719" w:rsidRPr="0020782B">
        <w:rPr>
          <w:rFonts w:ascii="Arial" w:hAnsi="Arial" w:cs="Arial"/>
          <w:b/>
          <w:bCs/>
          <w:sz w:val="22"/>
          <w:szCs w:val="22"/>
          <w:u w:val="single"/>
        </w:rPr>
        <w:t xml:space="preserve"> </w:t>
      </w:r>
    </w:p>
    <w:p w14:paraId="66AF4060" w14:textId="039469FA" w:rsidR="000D609B" w:rsidRPr="0020782B" w:rsidRDefault="00EA6719" w:rsidP="000D609B">
      <w:pPr>
        <w:pStyle w:val="Default"/>
        <w:rPr>
          <w:rFonts w:ascii="Arial" w:hAnsi="Arial" w:cs="Arial"/>
          <w:b/>
          <w:bCs/>
          <w:sz w:val="22"/>
          <w:szCs w:val="22"/>
        </w:rPr>
      </w:pPr>
      <w:r w:rsidRPr="0020782B">
        <w:rPr>
          <w:rFonts w:ascii="Arial" w:hAnsi="Arial" w:cs="Arial"/>
          <w:bCs/>
          <w:sz w:val="22"/>
          <w:szCs w:val="22"/>
        </w:rPr>
        <w:t xml:space="preserve">The Policies &amp; Procedures for Grants &amp; Sponsored Programs </w:t>
      </w:r>
      <w:r w:rsidR="00621700" w:rsidRPr="0020782B">
        <w:rPr>
          <w:rFonts w:ascii="Arial" w:hAnsi="Arial" w:cs="Arial"/>
          <w:bCs/>
          <w:sz w:val="22"/>
          <w:szCs w:val="22"/>
        </w:rPr>
        <w:t>were</w:t>
      </w:r>
      <w:r w:rsidRPr="0020782B">
        <w:rPr>
          <w:rFonts w:ascii="Arial" w:hAnsi="Arial" w:cs="Arial"/>
          <w:bCs/>
          <w:sz w:val="22"/>
          <w:szCs w:val="22"/>
        </w:rPr>
        <w:t xml:space="preserve"> enacted to ensure that </w:t>
      </w:r>
      <w:r w:rsidR="008B7226" w:rsidRPr="0020782B">
        <w:rPr>
          <w:rFonts w:ascii="Arial" w:hAnsi="Arial" w:cs="Arial"/>
          <w:bCs/>
          <w:sz w:val="22"/>
          <w:szCs w:val="22"/>
        </w:rPr>
        <w:t>Northwest Technical College</w:t>
      </w:r>
      <w:r w:rsidRPr="0020782B">
        <w:rPr>
          <w:rFonts w:ascii="Arial" w:hAnsi="Arial" w:cs="Arial"/>
          <w:bCs/>
          <w:sz w:val="22"/>
          <w:szCs w:val="22"/>
        </w:rPr>
        <w:t xml:space="preserve"> meet the Federal requirements concerning the accountability associated with Federal awards.</w:t>
      </w:r>
    </w:p>
    <w:p w14:paraId="6C4595F6" w14:textId="77777777" w:rsidR="00815A92" w:rsidRPr="0020782B" w:rsidRDefault="00815A92" w:rsidP="000D609B">
      <w:pPr>
        <w:pStyle w:val="Default"/>
        <w:rPr>
          <w:rFonts w:ascii="Arial" w:hAnsi="Arial" w:cs="Arial"/>
          <w:b/>
          <w:bCs/>
          <w:sz w:val="22"/>
          <w:szCs w:val="22"/>
        </w:rPr>
      </w:pPr>
    </w:p>
    <w:p w14:paraId="13DCC76D" w14:textId="276DEABF" w:rsidR="0020782B" w:rsidRPr="0020782B" w:rsidRDefault="0020782B" w:rsidP="0020782B">
      <w:pPr>
        <w:spacing w:after="0"/>
        <w:rPr>
          <w:rFonts w:ascii="Arial" w:hAnsi="Arial" w:cs="Arial"/>
          <w:b/>
          <w:bCs/>
          <w:u w:val="single"/>
        </w:rPr>
      </w:pPr>
      <w:r w:rsidRPr="0020782B">
        <w:rPr>
          <w:rFonts w:ascii="Arial" w:hAnsi="Arial" w:cs="Arial"/>
          <w:b/>
          <w:bCs/>
          <w:u w:val="single"/>
        </w:rPr>
        <w:t>Purpose</w:t>
      </w:r>
    </w:p>
    <w:p w14:paraId="4496FE92" w14:textId="35E4AFBB" w:rsidR="00815A92" w:rsidRDefault="00EA6719" w:rsidP="0020782B">
      <w:pPr>
        <w:spacing w:after="0"/>
        <w:rPr>
          <w:rFonts w:ascii="Arial" w:hAnsi="Arial" w:cs="Arial"/>
          <w:shd w:val="clear" w:color="auto" w:fill="FFFFFF"/>
        </w:rPr>
      </w:pPr>
      <w:r w:rsidRPr="0020782B">
        <w:rPr>
          <w:rFonts w:ascii="Arial" w:hAnsi="Arial" w:cs="Arial"/>
          <w:lang w:val="en"/>
        </w:rPr>
        <w:t xml:space="preserve">The purpose of these Policies &amp; Procedures is to insure that grants and sponsored program funds follow the OMB “Uniform Administrative Requirements, Cost Principles, and Audit Requirements for Federal Awards” (also known as “Uniform Guidance” or “2 CFR 200”) and other Federal requirements of the awarding agency concerning the accountability requirements associated with Federal awards. Also, these rules and regulation are to ensure that the Federal Government bear its fair share of the total costs in accordance with generally accepted accounting principles, except where restricted or prohibited by law. All federal awards made on or after December 26, 2014 are subject to the OMB Uniform Guidance. The Uniform Guidance replaces A-21, A-110 and A-133. </w:t>
      </w:r>
      <w:r w:rsidRPr="0020782B">
        <w:rPr>
          <w:rFonts w:ascii="Arial" w:hAnsi="Arial" w:cs="Arial"/>
          <w:shd w:val="clear" w:color="auto" w:fill="FFFFFF"/>
        </w:rPr>
        <w:t>Per the </w:t>
      </w:r>
      <w:hyperlink r:id="rId8" w:tgtFrame="_blank" w:history="1">
        <w:r w:rsidRPr="0020782B">
          <w:rPr>
            <w:rFonts w:ascii="Arial" w:hAnsi="Arial" w:cs="Arial"/>
            <w:color w:val="7030A0"/>
            <w:u w:val="single"/>
            <w:shd w:val="clear" w:color="auto" w:fill="FFFFFF"/>
          </w:rPr>
          <w:t>OMB webpage</w:t>
        </w:r>
      </w:hyperlink>
      <w:r w:rsidRPr="0020782B">
        <w:rPr>
          <w:rFonts w:ascii="Arial" w:hAnsi="Arial" w:cs="Arial"/>
          <w:shd w:val="clear" w:color="auto" w:fill="FFFFFF"/>
        </w:rPr>
        <w:t xml:space="preserve"> this guidance “will supersede requirements from OMB Circulars A-21, A-87, A-110, and A-122 (which have been placed in 2 C.F.R. Parts 220, 225, 215, and 230); Circulars A-89, A-102, and A-133; and the guidance in Circular A-50 on Single Audit Act follow-up.” In the cases where there was a substantial change in the guidance, existing awards before December 26, 2014, will remain subject to A-21 and A-110 (Higher Education Institutions). For the purpose of these “Policies and Procedures”, the records of </w:t>
      </w:r>
      <w:r w:rsidR="008B7226" w:rsidRPr="0020782B">
        <w:rPr>
          <w:rFonts w:ascii="Arial" w:hAnsi="Arial" w:cs="Arial"/>
          <w:shd w:val="clear" w:color="auto" w:fill="FFFFFF"/>
        </w:rPr>
        <w:t>Northwest Technical College</w:t>
      </w:r>
      <w:r w:rsidR="006B48CF" w:rsidRPr="0020782B">
        <w:rPr>
          <w:rFonts w:ascii="Arial" w:hAnsi="Arial" w:cs="Arial"/>
          <w:shd w:val="clear" w:color="auto" w:fill="FFFFFF"/>
        </w:rPr>
        <w:t xml:space="preserve"> are</w:t>
      </w:r>
      <w:r w:rsidRPr="0020782B">
        <w:rPr>
          <w:rFonts w:ascii="Arial" w:hAnsi="Arial" w:cs="Arial"/>
          <w:shd w:val="clear" w:color="auto" w:fill="FFFFFF"/>
        </w:rPr>
        <w:t xml:space="preserve"> referred to within this document as the </w:t>
      </w:r>
      <w:r w:rsidR="008B7226" w:rsidRPr="0020782B">
        <w:rPr>
          <w:rFonts w:ascii="Arial" w:hAnsi="Arial" w:cs="Arial"/>
          <w:shd w:val="clear" w:color="auto" w:fill="FFFFFF"/>
        </w:rPr>
        <w:t>College</w:t>
      </w:r>
      <w:r w:rsidRPr="0020782B">
        <w:rPr>
          <w:rFonts w:ascii="Arial" w:hAnsi="Arial" w:cs="Arial"/>
          <w:shd w:val="clear" w:color="auto" w:fill="FFFFFF"/>
        </w:rPr>
        <w:t xml:space="preserve"> unless specifically noted.</w:t>
      </w:r>
    </w:p>
    <w:p w14:paraId="213673F9" w14:textId="77777777" w:rsidR="0020782B" w:rsidRPr="0020782B" w:rsidRDefault="0020782B" w:rsidP="008A3344">
      <w:pPr>
        <w:rPr>
          <w:rFonts w:ascii="Arial" w:hAnsi="Arial" w:cs="Arial"/>
        </w:rPr>
      </w:pPr>
    </w:p>
    <w:p w14:paraId="73451760" w14:textId="2CD976AC" w:rsidR="002A6D85" w:rsidRDefault="000D609B" w:rsidP="000D609B">
      <w:pPr>
        <w:pStyle w:val="Default"/>
        <w:rPr>
          <w:rFonts w:ascii="Arial" w:hAnsi="Arial" w:cs="Arial"/>
          <w:b/>
          <w:sz w:val="22"/>
          <w:szCs w:val="22"/>
          <w:u w:val="single"/>
        </w:rPr>
      </w:pPr>
      <w:r w:rsidRPr="0020782B">
        <w:rPr>
          <w:rFonts w:ascii="Arial" w:hAnsi="Arial" w:cs="Arial"/>
          <w:b/>
          <w:sz w:val="22"/>
          <w:szCs w:val="22"/>
          <w:u w:val="single"/>
        </w:rPr>
        <w:t xml:space="preserve">Definitions </w:t>
      </w:r>
    </w:p>
    <w:p w14:paraId="2DAA745C" w14:textId="77777777" w:rsidR="0020782B" w:rsidRPr="0020782B" w:rsidRDefault="0020782B" w:rsidP="000D609B">
      <w:pPr>
        <w:pStyle w:val="Default"/>
        <w:rPr>
          <w:rFonts w:ascii="Arial" w:hAnsi="Arial" w:cs="Arial"/>
          <w:b/>
          <w:sz w:val="22"/>
          <w:szCs w:val="22"/>
          <w:u w:val="single"/>
        </w:rPr>
      </w:pPr>
    </w:p>
    <w:p w14:paraId="3C9EAE7E" w14:textId="77777777" w:rsidR="002A6D85" w:rsidRPr="0020782B" w:rsidRDefault="00833B64" w:rsidP="000D609B">
      <w:pPr>
        <w:pStyle w:val="Default"/>
        <w:rPr>
          <w:rFonts w:ascii="Arial" w:hAnsi="Arial" w:cs="Arial"/>
          <w:sz w:val="22"/>
          <w:szCs w:val="22"/>
        </w:rPr>
      </w:pPr>
      <w:r w:rsidRPr="0020782B">
        <w:rPr>
          <w:rFonts w:ascii="Arial" w:hAnsi="Arial" w:cs="Arial"/>
          <w:b/>
          <w:bCs/>
          <w:sz w:val="22"/>
          <w:szCs w:val="22"/>
        </w:rPr>
        <w:t>Cost Transfers:</w:t>
      </w:r>
      <w:r w:rsidRPr="0020782B">
        <w:rPr>
          <w:rFonts w:ascii="Arial" w:hAnsi="Arial" w:cs="Arial"/>
          <w:sz w:val="22"/>
          <w:szCs w:val="22"/>
        </w:rPr>
        <w:t xml:space="preserve"> </w:t>
      </w:r>
      <w:r w:rsidRPr="0020782B">
        <w:rPr>
          <w:rFonts w:ascii="Arial" w:hAnsi="Arial" w:cs="Arial"/>
          <w:sz w:val="22"/>
          <w:szCs w:val="22"/>
          <w:lang w:val="en"/>
        </w:rPr>
        <w:t>costs that are inadvertently charged to an incorrect cost center, an incorrect amount, or the costs are unallowable.</w:t>
      </w:r>
    </w:p>
    <w:p w14:paraId="2E98F1EA" w14:textId="77777777" w:rsidR="00833B64" w:rsidRPr="0020782B" w:rsidRDefault="00833B64" w:rsidP="00833B64">
      <w:pPr>
        <w:spacing w:after="0" w:line="240" w:lineRule="auto"/>
        <w:rPr>
          <w:rFonts w:ascii="Arial" w:hAnsi="Arial" w:cs="Arial"/>
        </w:rPr>
      </w:pPr>
    </w:p>
    <w:p w14:paraId="3C856531" w14:textId="77777777" w:rsidR="00833B64" w:rsidRPr="0020782B" w:rsidRDefault="00833B64" w:rsidP="00977417">
      <w:pPr>
        <w:spacing w:after="0" w:line="240" w:lineRule="auto"/>
        <w:rPr>
          <w:rFonts w:ascii="Arial" w:hAnsi="Arial" w:cs="Arial"/>
        </w:rPr>
      </w:pPr>
      <w:r w:rsidRPr="0020782B">
        <w:rPr>
          <w:rFonts w:ascii="Arial" w:hAnsi="Arial" w:cs="Arial"/>
          <w:b/>
          <w:bCs/>
        </w:rPr>
        <w:t>Unallowable costs:</w:t>
      </w:r>
      <w:r w:rsidRPr="0020782B">
        <w:rPr>
          <w:rFonts w:ascii="Arial" w:hAnsi="Arial" w:cs="Arial"/>
        </w:rPr>
        <w:t xml:space="preserve"> any cost which (whether stated to be unallowable or mutually agreed to be unallowable) under the provisions of any pertinent law, regulation, or sponsored agreement. </w:t>
      </w:r>
    </w:p>
    <w:p w14:paraId="6487D1B4" w14:textId="77777777" w:rsidR="008A3344" w:rsidRPr="0020782B" w:rsidRDefault="008A3344" w:rsidP="00977417">
      <w:pPr>
        <w:spacing w:after="0" w:line="240" w:lineRule="auto"/>
        <w:rPr>
          <w:rFonts w:ascii="Arial" w:hAnsi="Arial" w:cs="Arial"/>
        </w:rPr>
      </w:pPr>
      <w:r w:rsidRPr="0020782B">
        <w:rPr>
          <w:rFonts w:ascii="Arial" w:hAnsi="Arial" w:cs="Arial"/>
        </w:rPr>
        <w:t>Participant Support Costs: direct costs for items such as stipend or subsistence allowance, travel allowances, and registration fees paid to or on behalf of participants or trainees (but not employees) in connection with conferences, or training projects.</w:t>
      </w:r>
    </w:p>
    <w:p w14:paraId="4984DC7A" w14:textId="77777777" w:rsidR="008A3344" w:rsidRPr="0020782B" w:rsidRDefault="008A3344" w:rsidP="00977417">
      <w:pPr>
        <w:spacing w:after="0" w:line="240" w:lineRule="auto"/>
        <w:rPr>
          <w:rFonts w:ascii="Arial" w:hAnsi="Arial" w:cs="Arial"/>
        </w:rPr>
      </w:pPr>
    </w:p>
    <w:p w14:paraId="090B185A" w14:textId="77777777" w:rsidR="006B48CF" w:rsidRPr="0020782B" w:rsidRDefault="006B48CF" w:rsidP="00EA6719">
      <w:pPr>
        <w:spacing w:after="0"/>
        <w:rPr>
          <w:rFonts w:ascii="Arial" w:hAnsi="Arial" w:cs="Arial"/>
          <w:b/>
          <w:bCs/>
        </w:rPr>
      </w:pPr>
    </w:p>
    <w:p w14:paraId="09B1FAFB" w14:textId="38F5E041" w:rsidR="008A3344" w:rsidRDefault="00EA6719" w:rsidP="00EA6719">
      <w:pPr>
        <w:spacing w:after="0"/>
        <w:rPr>
          <w:rFonts w:ascii="Arial" w:hAnsi="Arial" w:cs="Arial"/>
          <w:b/>
          <w:bCs/>
          <w:u w:val="single"/>
        </w:rPr>
      </w:pPr>
      <w:r w:rsidRPr="0020782B">
        <w:rPr>
          <w:rFonts w:ascii="Arial" w:hAnsi="Arial" w:cs="Arial"/>
          <w:b/>
          <w:bCs/>
          <w:u w:val="single"/>
        </w:rPr>
        <w:t>Procedures</w:t>
      </w:r>
    </w:p>
    <w:p w14:paraId="4BA8F162" w14:textId="77777777" w:rsidR="0020782B" w:rsidRPr="0020782B" w:rsidRDefault="0020782B" w:rsidP="00EA6719">
      <w:pPr>
        <w:spacing w:after="0"/>
        <w:rPr>
          <w:rFonts w:ascii="Arial" w:hAnsi="Arial" w:cs="Arial"/>
          <w:b/>
          <w:bCs/>
          <w:u w:val="single"/>
        </w:rPr>
      </w:pPr>
    </w:p>
    <w:p w14:paraId="7ECA25F9" w14:textId="545B0FF4" w:rsidR="00EA6719" w:rsidRPr="0020782B" w:rsidRDefault="00833B64" w:rsidP="0020782B">
      <w:pPr>
        <w:spacing w:after="0"/>
        <w:rPr>
          <w:rFonts w:ascii="Arial" w:hAnsi="Arial" w:cs="Arial"/>
          <w:b/>
        </w:rPr>
      </w:pPr>
      <w:r w:rsidRPr="0020782B">
        <w:rPr>
          <w:rFonts w:ascii="Arial" w:hAnsi="Arial" w:cs="Arial"/>
          <w:b/>
        </w:rPr>
        <w:t>C</w:t>
      </w:r>
      <w:r w:rsidR="00EA6719" w:rsidRPr="0020782B">
        <w:rPr>
          <w:rFonts w:ascii="Arial" w:hAnsi="Arial" w:cs="Arial"/>
          <w:b/>
        </w:rPr>
        <w:t>ost Transfers</w:t>
      </w:r>
      <w:r w:rsidR="0020782B">
        <w:rPr>
          <w:rFonts w:ascii="Arial" w:hAnsi="Arial" w:cs="Arial"/>
          <w:b/>
        </w:rPr>
        <w:t>:</w:t>
      </w:r>
    </w:p>
    <w:p w14:paraId="2C1FC75B" w14:textId="77777777" w:rsidR="00EA6719" w:rsidRPr="0020782B" w:rsidRDefault="00EA6719" w:rsidP="00EA6719">
      <w:pPr>
        <w:spacing w:line="240" w:lineRule="auto"/>
        <w:rPr>
          <w:rFonts w:ascii="Arial" w:hAnsi="Arial" w:cs="Arial"/>
          <w:color w:val="1F1F1F"/>
          <w:shd w:val="clear" w:color="auto" w:fill="FFFFFF"/>
        </w:rPr>
      </w:pPr>
      <w:r w:rsidRPr="0020782B">
        <w:rPr>
          <w:rFonts w:ascii="Arial" w:hAnsi="Arial" w:cs="Arial"/>
          <w:lang w:val="en"/>
        </w:rPr>
        <w:t>In</w:t>
      </w:r>
      <w:r w:rsidRPr="0020782B">
        <w:rPr>
          <w:rFonts w:ascii="Arial" w:hAnsi="Arial" w:cs="Arial"/>
          <w:color w:val="1F1F1F"/>
          <w:shd w:val="clear" w:color="auto" w:fill="FFFFFF"/>
        </w:rPr>
        <w:t xml:space="preserve"> accordance with OMB, it is necessary to explain and justify transfers of charges onto </w:t>
      </w:r>
      <w:proofErr w:type="gramStart"/>
      <w:r w:rsidRPr="0020782B">
        <w:rPr>
          <w:rFonts w:ascii="Arial" w:hAnsi="Arial" w:cs="Arial"/>
          <w:color w:val="1F1F1F"/>
          <w:shd w:val="clear" w:color="auto" w:fill="FFFFFF"/>
        </w:rPr>
        <w:t>federally-funded</w:t>
      </w:r>
      <w:proofErr w:type="gramEnd"/>
      <w:r w:rsidRPr="0020782B">
        <w:rPr>
          <w:rFonts w:ascii="Arial" w:hAnsi="Arial" w:cs="Arial"/>
          <w:color w:val="1F1F1F"/>
          <w:shd w:val="clear" w:color="auto" w:fill="FFFFFF"/>
        </w:rPr>
        <w:t xml:space="preserve"> sponsored awards, where the original charge was previously recorded </w:t>
      </w:r>
      <w:r w:rsidRPr="0020782B">
        <w:rPr>
          <w:rFonts w:ascii="Arial" w:hAnsi="Arial" w:cs="Arial"/>
          <w:color w:val="1F1F1F"/>
          <w:shd w:val="clear" w:color="auto" w:fill="FFFFFF"/>
        </w:rPr>
        <w:lastRenderedPageBreak/>
        <w:t xml:space="preserve">elsewhere on </w:t>
      </w:r>
      <w:r w:rsidR="00977417" w:rsidRPr="0020782B">
        <w:rPr>
          <w:rFonts w:ascii="Arial" w:hAnsi="Arial" w:cs="Arial"/>
          <w:color w:val="1F1F1F"/>
          <w:shd w:val="clear" w:color="auto" w:fill="FFFFFF"/>
        </w:rPr>
        <w:t xml:space="preserve">the </w:t>
      </w:r>
      <w:r w:rsidR="008B7226" w:rsidRPr="0020782B">
        <w:rPr>
          <w:rFonts w:ascii="Arial" w:hAnsi="Arial" w:cs="Arial"/>
          <w:color w:val="1F1F1F"/>
          <w:shd w:val="clear" w:color="auto" w:fill="FFFFFF"/>
        </w:rPr>
        <w:t>College</w:t>
      </w:r>
      <w:r w:rsidR="00977417" w:rsidRPr="0020782B">
        <w:rPr>
          <w:rFonts w:ascii="Arial" w:hAnsi="Arial" w:cs="Arial"/>
          <w:color w:val="1F1F1F"/>
          <w:shd w:val="clear" w:color="auto" w:fill="FFFFFF"/>
        </w:rPr>
        <w:t xml:space="preserve">’s </w:t>
      </w:r>
      <w:r w:rsidR="0000672F" w:rsidRPr="0020782B">
        <w:rPr>
          <w:rFonts w:ascii="Arial" w:hAnsi="Arial" w:cs="Arial"/>
          <w:color w:val="1F1F1F"/>
          <w:shd w:val="clear" w:color="auto" w:fill="FFFFFF"/>
        </w:rPr>
        <w:t>g</w:t>
      </w:r>
      <w:r w:rsidR="00977417" w:rsidRPr="0020782B">
        <w:rPr>
          <w:rFonts w:ascii="Arial" w:hAnsi="Arial" w:cs="Arial"/>
          <w:color w:val="1F1F1F"/>
          <w:shd w:val="clear" w:color="auto" w:fill="FFFFFF"/>
        </w:rPr>
        <w:t xml:space="preserve">eneral </w:t>
      </w:r>
      <w:r w:rsidR="0000672F" w:rsidRPr="0020782B">
        <w:rPr>
          <w:rFonts w:ascii="Arial" w:hAnsi="Arial" w:cs="Arial"/>
          <w:color w:val="1F1F1F"/>
          <w:shd w:val="clear" w:color="auto" w:fill="FFFFFF"/>
        </w:rPr>
        <w:t>l</w:t>
      </w:r>
      <w:r w:rsidR="00977417" w:rsidRPr="0020782B">
        <w:rPr>
          <w:rFonts w:ascii="Arial" w:hAnsi="Arial" w:cs="Arial"/>
          <w:color w:val="1F1F1F"/>
          <w:shd w:val="clear" w:color="auto" w:fill="FFFFFF"/>
        </w:rPr>
        <w:t xml:space="preserve">edger. </w:t>
      </w:r>
      <w:r w:rsidRPr="0020782B">
        <w:rPr>
          <w:rFonts w:ascii="Arial" w:hAnsi="Arial" w:cs="Arial"/>
          <w:color w:val="1F1F1F"/>
          <w:shd w:val="clear" w:color="auto" w:fill="FFFFFF"/>
        </w:rPr>
        <w:t>Timeliness and completeness of the explanation of the transfer are important factors in supporting allowability and allocability in accordance with federal requirements.</w:t>
      </w:r>
    </w:p>
    <w:p w14:paraId="5A2FB850" w14:textId="77777777" w:rsidR="00EA6719" w:rsidRPr="0020782B" w:rsidRDefault="00EA6719" w:rsidP="00EA6719">
      <w:pPr>
        <w:numPr>
          <w:ilvl w:val="0"/>
          <w:numId w:val="8"/>
        </w:numPr>
        <w:spacing w:line="240" w:lineRule="auto"/>
        <w:contextualSpacing/>
        <w:rPr>
          <w:rFonts w:ascii="Arial" w:eastAsiaTheme="minorEastAsia" w:hAnsi="Arial" w:cs="Arial"/>
          <w:lang w:val="en"/>
        </w:rPr>
      </w:pPr>
      <w:r w:rsidRPr="0020782B">
        <w:rPr>
          <w:rFonts w:ascii="Arial" w:eastAsiaTheme="minorEastAsia" w:hAnsi="Arial" w:cs="Arial"/>
          <w:shd w:val="clear" w:color="auto" w:fill="FFFFFF"/>
        </w:rPr>
        <w:t xml:space="preserve">When purchasing an item or when transferring a cost, the </w:t>
      </w:r>
      <w:r w:rsidRPr="0020782B">
        <w:rPr>
          <w:rFonts w:ascii="Arial" w:eastAsiaTheme="minorEastAsia" w:hAnsi="Arial" w:cs="Arial"/>
        </w:rPr>
        <w:t>Principle Investigator (PI), Office &amp; Admin Specialist, and the Grant Accountant</w:t>
      </w:r>
      <w:r w:rsidRPr="0020782B">
        <w:rPr>
          <w:rFonts w:ascii="Arial" w:eastAsiaTheme="minorEastAsia" w:hAnsi="Arial" w:cs="Arial"/>
          <w:shd w:val="clear" w:color="auto" w:fill="FFFFFF"/>
        </w:rPr>
        <w:t xml:space="preserve"> should ensure the item/cost will directly benefit the project onto which the expenditure will be charged. </w:t>
      </w:r>
    </w:p>
    <w:p w14:paraId="73BEAF20" w14:textId="77777777" w:rsidR="00EA6719" w:rsidRPr="0020782B" w:rsidRDefault="00EA6719" w:rsidP="00EA6719">
      <w:pPr>
        <w:numPr>
          <w:ilvl w:val="0"/>
          <w:numId w:val="8"/>
        </w:numPr>
        <w:spacing w:line="240" w:lineRule="auto"/>
        <w:contextualSpacing/>
        <w:rPr>
          <w:rFonts w:ascii="Arial" w:eastAsiaTheme="minorEastAsia" w:hAnsi="Arial" w:cs="Arial"/>
        </w:rPr>
      </w:pPr>
      <w:r w:rsidRPr="0020782B">
        <w:rPr>
          <w:rFonts w:ascii="Arial" w:eastAsiaTheme="minorEastAsia" w:hAnsi="Arial" w:cs="Arial"/>
        </w:rPr>
        <w:t>Unusual expenses are flagged and investigated by the PI, Office &amp; Admin Specialist, or the Grant Accountant and that person will initiate a budget transaction form if the expense being charged is due to an error or unallowable cost.</w:t>
      </w:r>
    </w:p>
    <w:p w14:paraId="75514533" w14:textId="77777777" w:rsidR="00EA6719" w:rsidRPr="0020782B" w:rsidRDefault="00EA6719" w:rsidP="00EA6719">
      <w:pPr>
        <w:numPr>
          <w:ilvl w:val="0"/>
          <w:numId w:val="8"/>
        </w:numPr>
        <w:spacing w:line="240" w:lineRule="auto"/>
        <w:contextualSpacing/>
        <w:rPr>
          <w:rFonts w:ascii="Arial" w:eastAsiaTheme="minorEastAsia" w:hAnsi="Arial" w:cs="Arial"/>
        </w:rPr>
      </w:pPr>
      <w:r w:rsidRPr="0020782B">
        <w:rPr>
          <w:rFonts w:ascii="Arial" w:eastAsiaTheme="minorEastAsia" w:hAnsi="Arial" w:cs="Arial"/>
        </w:rPr>
        <w:t xml:space="preserve">The </w:t>
      </w:r>
      <w:r w:rsidR="00C06DC6" w:rsidRPr="0020782B">
        <w:rPr>
          <w:rFonts w:ascii="Arial" w:eastAsiaTheme="minorEastAsia" w:hAnsi="Arial" w:cs="Arial"/>
        </w:rPr>
        <w:t>person initiating the form and the PI will sign the budget transaction form</w:t>
      </w:r>
      <w:r w:rsidRPr="0020782B">
        <w:rPr>
          <w:rFonts w:ascii="Arial" w:eastAsiaTheme="minorEastAsia" w:hAnsi="Arial" w:cs="Arial"/>
        </w:rPr>
        <w:t>. The form is sent to the Business Office for approval and processing the cost transfer. Only the Business Office can process the cost transfer.</w:t>
      </w:r>
    </w:p>
    <w:p w14:paraId="49D8A8FE" w14:textId="77777777" w:rsidR="00EA6719" w:rsidRPr="0020782B" w:rsidRDefault="00EA6719" w:rsidP="00EA6719">
      <w:pPr>
        <w:numPr>
          <w:ilvl w:val="0"/>
          <w:numId w:val="8"/>
        </w:numPr>
        <w:spacing w:line="240" w:lineRule="auto"/>
        <w:contextualSpacing/>
        <w:rPr>
          <w:rFonts w:ascii="Arial" w:eastAsiaTheme="minorEastAsia" w:hAnsi="Arial" w:cs="Arial"/>
        </w:rPr>
      </w:pPr>
      <w:r w:rsidRPr="0020782B">
        <w:rPr>
          <w:rFonts w:ascii="Arial" w:eastAsiaTheme="minorEastAsia" w:hAnsi="Arial" w:cs="Arial"/>
        </w:rPr>
        <w:t>All cost transfers will be processed in a timely manner, if possible, within 90 days of the original entry.</w:t>
      </w:r>
    </w:p>
    <w:p w14:paraId="17D7EEAB" w14:textId="77777777" w:rsidR="00EA6719" w:rsidRPr="0020782B" w:rsidRDefault="00EA6719" w:rsidP="00EA6719">
      <w:pPr>
        <w:numPr>
          <w:ilvl w:val="0"/>
          <w:numId w:val="8"/>
        </w:numPr>
        <w:spacing w:line="240" w:lineRule="auto"/>
        <w:contextualSpacing/>
        <w:rPr>
          <w:rFonts w:ascii="Arial" w:eastAsiaTheme="minorEastAsia" w:hAnsi="Arial" w:cs="Arial"/>
        </w:rPr>
      </w:pPr>
      <w:r w:rsidRPr="0020782B">
        <w:rPr>
          <w:rFonts w:ascii="Arial" w:eastAsiaTheme="minorEastAsia" w:hAnsi="Arial" w:cs="Arial"/>
        </w:rPr>
        <w:t>The cost transfer will have the supporting documentation (original entry, receipt, etc.) and written justification for the transfer.</w:t>
      </w:r>
    </w:p>
    <w:p w14:paraId="51EBDA28" w14:textId="77777777" w:rsidR="00EA6719" w:rsidRPr="0020782B" w:rsidRDefault="00EA6719" w:rsidP="00EA6719">
      <w:pPr>
        <w:numPr>
          <w:ilvl w:val="0"/>
          <w:numId w:val="8"/>
        </w:numPr>
        <w:spacing w:line="240" w:lineRule="auto"/>
        <w:contextualSpacing/>
        <w:rPr>
          <w:rFonts w:ascii="Arial" w:eastAsiaTheme="minorEastAsia" w:hAnsi="Arial" w:cs="Arial"/>
        </w:rPr>
      </w:pPr>
      <w:r w:rsidRPr="0020782B">
        <w:rPr>
          <w:rFonts w:ascii="Arial" w:eastAsiaTheme="minorEastAsia" w:hAnsi="Arial" w:cs="Arial"/>
        </w:rPr>
        <w:t>The cost transfer completed forms are retained and filed in the Accounts Payable department.</w:t>
      </w:r>
    </w:p>
    <w:p w14:paraId="601D07AC" w14:textId="77777777" w:rsidR="00EA6719" w:rsidRPr="0020782B" w:rsidRDefault="00EA6719" w:rsidP="00EA6719">
      <w:pPr>
        <w:spacing w:after="0" w:line="240" w:lineRule="auto"/>
        <w:rPr>
          <w:rFonts w:ascii="Arial" w:hAnsi="Arial" w:cs="Arial"/>
          <w:b/>
        </w:rPr>
      </w:pPr>
    </w:p>
    <w:p w14:paraId="5343F066" w14:textId="3B01EFD8" w:rsidR="00EA6719" w:rsidRPr="0020782B" w:rsidRDefault="00EA6719" w:rsidP="00EA6719">
      <w:pPr>
        <w:spacing w:after="0" w:line="240" w:lineRule="auto"/>
        <w:rPr>
          <w:rFonts w:ascii="Arial" w:hAnsi="Arial" w:cs="Arial"/>
          <w:b/>
        </w:rPr>
      </w:pPr>
      <w:r w:rsidRPr="0020782B">
        <w:rPr>
          <w:rFonts w:ascii="Arial" w:hAnsi="Arial" w:cs="Arial"/>
          <w:b/>
        </w:rPr>
        <w:t>Unallowable Costs</w:t>
      </w:r>
      <w:r w:rsidR="0020782B">
        <w:rPr>
          <w:rFonts w:ascii="Arial" w:hAnsi="Arial" w:cs="Arial"/>
          <w:b/>
        </w:rPr>
        <w:t>:</w:t>
      </w:r>
    </w:p>
    <w:p w14:paraId="706A6027" w14:textId="77777777" w:rsidR="00EA6719" w:rsidRPr="0020782B" w:rsidRDefault="00EA6719" w:rsidP="00EA6719">
      <w:pPr>
        <w:spacing w:after="0" w:line="240" w:lineRule="auto"/>
        <w:rPr>
          <w:rFonts w:ascii="Arial" w:hAnsi="Arial" w:cs="Arial"/>
        </w:rPr>
      </w:pPr>
      <w:r w:rsidRPr="0020782B">
        <w:rPr>
          <w:rFonts w:ascii="Arial" w:hAnsi="Arial" w:cs="Arial"/>
        </w:rPr>
        <w:t xml:space="preserve">Unallowable costs cannot be included in prices, cost reimbursements, or settlements under a government sponsored agreement to which it is allocable. </w:t>
      </w:r>
    </w:p>
    <w:p w14:paraId="3BF7B5F9" w14:textId="77777777" w:rsidR="00EA6719" w:rsidRPr="0020782B" w:rsidRDefault="00EA6719" w:rsidP="00EA6719">
      <w:pPr>
        <w:spacing w:after="0" w:line="240" w:lineRule="auto"/>
        <w:rPr>
          <w:rFonts w:ascii="Arial" w:hAnsi="Arial" w:cs="Arial"/>
        </w:rPr>
      </w:pPr>
    </w:p>
    <w:p w14:paraId="290CEA66" w14:textId="77777777" w:rsidR="00EA6719" w:rsidRPr="0020782B" w:rsidRDefault="00EA6719" w:rsidP="00EA6719">
      <w:pPr>
        <w:numPr>
          <w:ilvl w:val="0"/>
          <w:numId w:val="11"/>
        </w:numPr>
        <w:spacing w:after="0" w:line="240" w:lineRule="auto"/>
        <w:contextualSpacing/>
        <w:rPr>
          <w:rFonts w:ascii="Arial" w:eastAsiaTheme="minorEastAsia" w:hAnsi="Arial" w:cs="Arial"/>
          <w:lang w:val="en"/>
        </w:rPr>
      </w:pPr>
      <w:r w:rsidRPr="0020782B">
        <w:rPr>
          <w:rFonts w:ascii="Arial" w:eastAsiaTheme="minorEastAsia" w:hAnsi="Arial" w:cs="Arial"/>
          <w:lang w:val="en"/>
        </w:rPr>
        <w:t>Reconciling accounts on a regular basis will help manage sponsored funds to ensure that expenditures and revenues are within appropriate limits and guidelines.</w:t>
      </w:r>
    </w:p>
    <w:p w14:paraId="6F8915D5" w14:textId="77777777" w:rsidR="00EA6719" w:rsidRPr="0020782B" w:rsidRDefault="00EA6719" w:rsidP="00EA6719">
      <w:pPr>
        <w:numPr>
          <w:ilvl w:val="0"/>
          <w:numId w:val="11"/>
        </w:numPr>
        <w:spacing w:after="0" w:line="240" w:lineRule="auto"/>
        <w:contextualSpacing/>
        <w:rPr>
          <w:rFonts w:ascii="Arial" w:eastAsiaTheme="minorEastAsia" w:hAnsi="Arial" w:cs="Arial"/>
          <w:lang w:val="en"/>
        </w:rPr>
      </w:pPr>
      <w:r w:rsidRPr="0020782B">
        <w:rPr>
          <w:rFonts w:ascii="Arial" w:eastAsiaTheme="minorEastAsia" w:hAnsi="Arial" w:cs="Arial"/>
        </w:rPr>
        <w:t xml:space="preserve">The PI, Office of Admin Specialist, and Grant Accounting Officer should be familiar with the complete list of unallowable costs for the Federal agency administering the award.  The complete list of costs (the </w:t>
      </w:r>
      <w:r w:rsidRPr="0020782B">
        <w:rPr>
          <w:rFonts w:ascii="Arial" w:hAnsi="Arial" w:cs="Arial"/>
          <w:shd w:val="clear" w:color="auto" w:fill="FFFFFF"/>
        </w:rPr>
        <w:t>Uniform Guidance) is located at: </w:t>
      </w:r>
      <w:hyperlink r:id="rId9" w:tgtFrame="_blank" w:history="1">
        <w:r w:rsidRPr="0020782B">
          <w:rPr>
            <w:rFonts w:ascii="Arial" w:hAnsi="Arial" w:cs="Arial"/>
            <w:color w:val="7030A0"/>
            <w:u w:val="single"/>
            <w:shd w:val="clear" w:color="auto" w:fill="FFFFFF"/>
          </w:rPr>
          <w:t>2 CFR 200, Uniform Guidance (Uniform Administrative Requirements, Cost Principles, and Audit Requirements for Federal Awards)</w:t>
        </w:r>
      </w:hyperlink>
      <w:r w:rsidRPr="0020782B">
        <w:rPr>
          <w:rFonts w:ascii="Arial" w:eastAsiaTheme="minorEastAsia" w:hAnsi="Arial" w:cs="Arial"/>
          <w:color w:val="7030A0"/>
        </w:rPr>
        <w:t xml:space="preserve">, </w:t>
      </w:r>
      <w:r w:rsidRPr="0020782B">
        <w:rPr>
          <w:rFonts w:ascii="Arial" w:eastAsiaTheme="minorEastAsia" w:hAnsi="Arial" w:cs="Arial"/>
        </w:rPr>
        <w:t xml:space="preserve">and can include other federal requirements from the awarding agency. A few examples of </w:t>
      </w:r>
      <w:r w:rsidR="00977417" w:rsidRPr="0020782B">
        <w:rPr>
          <w:rFonts w:ascii="Arial" w:eastAsiaTheme="minorEastAsia" w:hAnsi="Arial" w:cs="Arial"/>
        </w:rPr>
        <w:t>categories of unallowable costs</w:t>
      </w:r>
      <w:r w:rsidRPr="0020782B">
        <w:rPr>
          <w:rFonts w:ascii="Arial" w:eastAsiaTheme="minorEastAsia" w:hAnsi="Arial" w:cs="Arial"/>
        </w:rPr>
        <w:t xml:space="preserve">: </w:t>
      </w:r>
      <w:hyperlink r:id="rId10" w:history="1"/>
      <w:r w:rsidRPr="0020782B">
        <w:rPr>
          <w:rFonts w:ascii="Arial" w:eastAsiaTheme="minorEastAsia" w:hAnsi="Arial" w:cs="Arial"/>
          <w:color w:val="7030A0"/>
        </w:rPr>
        <w:t xml:space="preserve"> </w:t>
      </w:r>
    </w:p>
    <w:p w14:paraId="791770DB" w14:textId="77777777" w:rsidR="00EA6719" w:rsidRPr="0020782B" w:rsidRDefault="00EA6719" w:rsidP="00EA6719">
      <w:pPr>
        <w:numPr>
          <w:ilvl w:val="1"/>
          <w:numId w:val="11"/>
        </w:numPr>
        <w:spacing w:line="240" w:lineRule="auto"/>
        <w:contextualSpacing/>
        <w:rPr>
          <w:rFonts w:ascii="Arial" w:eastAsiaTheme="minorEastAsia" w:hAnsi="Arial" w:cs="Arial"/>
        </w:rPr>
      </w:pPr>
      <w:r w:rsidRPr="0020782B">
        <w:rPr>
          <w:rFonts w:ascii="Arial" w:eastAsiaTheme="minorEastAsia" w:hAnsi="Arial" w:cs="Arial"/>
        </w:rPr>
        <w:t>Entertainment</w:t>
      </w:r>
    </w:p>
    <w:p w14:paraId="135171BB" w14:textId="77777777" w:rsidR="00EA6719" w:rsidRPr="0020782B" w:rsidRDefault="00EA6719" w:rsidP="00EA6719">
      <w:pPr>
        <w:numPr>
          <w:ilvl w:val="1"/>
          <w:numId w:val="11"/>
        </w:numPr>
        <w:spacing w:line="240" w:lineRule="auto"/>
        <w:contextualSpacing/>
        <w:rPr>
          <w:rFonts w:ascii="Arial" w:eastAsiaTheme="minorEastAsia" w:hAnsi="Arial" w:cs="Arial"/>
        </w:rPr>
      </w:pPr>
      <w:r w:rsidRPr="0020782B">
        <w:rPr>
          <w:rFonts w:ascii="Arial" w:eastAsiaTheme="minorEastAsia" w:hAnsi="Arial" w:cs="Arial"/>
        </w:rPr>
        <w:t>Meals and Coffee Breaks</w:t>
      </w:r>
    </w:p>
    <w:p w14:paraId="3684C343" w14:textId="77777777" w:rsidR="00EA6719" w:rsidRPr="0020782B" w:rsidRDefault="00EA6719" w:rsidP="00EA6719">
      <w:pPr>
        <w:numPr>
          <w:ilvl w:val="1"/>
          <w:numId w:val="11"/>
        </w:numPr>
        <w:spacing w:line="240" w:lineRule="auto"/>
        <w:contextualSpacing/>
        <w:rPr>
          <w:rFonts w:ascii="Arial" w:eastAsiaTheme="minorEastAsia" w:hAnsi="Arial" w:cs="Arial"/>
        </w:rPr>
      </w:pPr>
      <w:r w:rsidRPr="0020782B">
        <w:rPr>
          <w:rFonts w:ascii="Arial" w:eastAsiaTheme="minorEastAsia" w:hAnsi="Arial" w:cs="Arial"/>
        </w:rPr>
        <w:t>Alcoholic Beverages</w:t>
      </w:r>
    </w:p>
    <w:p w14:paraId="1E43C140" w14:textId="77777777" w:rsidR="00EA6719" w:rsidRPr="0020782B" w:rsidRDefault="00EA6719" w:rsidP="00EA6719">
      <w:pPr>
        <w:numPr>
          <w:ilvl w:val="0"/>
          <w:numId w:val="11"/>
        </w:numPr>
        <w:spacing w:line="240" w:lineRule="auto"/>
        <w:contextualSpacing/>
        <w:rPr>
          <w:rFonts w:ascii="Arial" w:eastAsiaTheme="minorEastAsia" w:hAnsi="Arial" w:cs="Arial"/>
        </w:rPr>
      </w:pPr>
      <w:r w:rsidRPr="0020782B">
        <w:rPr>
          <w:rFonts w:ascii="Arial" w:eastAsiaTheme="minorEastAsia" w:hAnsi="Arial" w:cs="Arial"/>
        </w:rPr>
        <w:t xml:space="preserve">At the end of each month, the PI, Office &amp; Admin Specialist, and the Grant Accounting Officer examine the monthly reports and if unallowable costs are identified in the award, whether a direct or indirect cost, they are moved to the PI’s cost center.  </w:t>
      </w:r>
    </w:p>
    <w:p w14:paraId="51CB33EC" w14:textId="4D0759C2" w:rsidR="00977417" w:rsidRPr="00722C80" w:rsidRDefault="00EA6719" w:rsidP="00722C80">
      <w:pPr>
        <w:numPr>
          <w:ilvl w:val="0"/>
          <w:numId w:val="11"/>
        </w:numPr>
        <w:spacing w:line="240" w:lineRule="auto"/>
        <w:contextualSpacing/>
        <w:rPr>
          <w:rFonts w:ascii="Arial" w:eastAsiaTheme="minorEastAsia" w:hAnsi="Arial" w:cs="Arial"/>
        </w:rPr>
      </w:pPr>
      <w:r w:rsidRPr="0020782B">
        <w:rPr>
          <w:rFonts w:ascii="Arial" w:eastAsiaTheme="minorEastAsia" w:hAnsi="Arial" w:cs="Arial"/>
        </w:rPr>
        <w:t xml:space="preserve">If there are unallowable indirect costs identified, the direct costs associated with those indirect costs are excluded from the indirect cost calculation. </w:t>
      </w:r>
      <w:bookmarkStart w:id="0" w:name="_GoBack"/>
      <w:bookmarkEnd w:id="0"/>
    </w:p>
    <w:p w14:paraId="7B93C623" w14:textId="77777777" w:rsidR="00977417" w:rsidRPr="0020782B" w:rsidRDefault="00977417" w:rsidP="00EA6719">
      <w:pPr>
        <w:spacing w:after="0" w:line="240" w:lineRule="auto"/>
        <w:rPr>
          <w:rFonts w:ascii="Arial" w:hAnsi="Arial" w:cs="Arial"/>
          <w:b/>
        </w:rPr>
      </w:pPr>
    </w:p>
    <w:p w14:paraId="00FC7C54" w14:textId="196F6529" w:rsidR="00EA6719" w:rsidRPr="0020782B" w:rsidRDefault="00EA6719" w:rsidP="0020782B">
      <w:pPr>
        <w:spacing w:after="0" w:line="240" w:lineRule="auto"/>
        <w:rPr>
          <w:rFonts w:ascii="Arial" w:hAnsi="Arial" w:cs="Arial"/>
          <w:b/>
        </w:rPr>
      </w:pPr>
      <w:r w:rsidRPr="0020782B">
        <w:rPr>
          <w:rFonts w:ascii="Arial" w:hAnsi="Arial" w:cs="Arial"/>
          <w:b/>
        </w:rPr>
        <w:t>Budget Revisions</w:t>
      </w:r>
      <w:r w:rsidR="0020782B">
        <w:rPr>
          <w:rFonts w:ascii="Arial" w:hAnsi="Arial" w:cs="Arial"/>
          <w:b/>
        </w:rPr>
        <w:t>:</w:t>
      </w:r>
    </w:p>
    <w:p w14:paraId="713A50E5" w14:textId="77777777" w:rsidR="00EA6719" w:rsidRPr="0020782B" w:rsidRDefault="00EA6719" w:rsidP="00EA6719">
      <w:pPr>
        <w:spacing w:after="0" w:line="240" w:lineRule="auto"/>
        <w:rPr>
          <w:rFonts w:ascii="Arial" w:hAnsi="Arial" w:cs="Arial"/>
        </w:rPr>
      </w:pPr>
      <w:r w:rsidRPr="0020782B">
        <w:rPr>
          <w:rFonts w:ascii="Arial" w:hAnsi="Arial" w:cs="Arial"/>
        </w:rPr>
        <w:t xml:space="preserve">Budget revisions, if they are necessary, will be in compliance with 2 CFR 215.25, Uniform Administrative Requirements for Grants and Agreements with Institutions of Higher Education, Hospitals, and other Non-Profit Organizations, found at: </w:t>
      </w:r>
      <w:hyperlink r:id="rId11" w:history="1">
        <w:r w:rsidRPr="0020782B">
          <w:rPr>
            <w:rFonts w:ascii="Arial" w:hAnsi="Arial" w:cs="Arial"/>
            <w:color w:val="7030A0"/>
            <w:u w:val="single"/>
          </w:rPr>
          <w:t>https://www.whitehouse.gov/sites/default/files/omb/assets/omb/circulars/a110/2cfr215-0.pdf</w:t>
        </w:r>
      </w:hyperlink>
      <w:r w:rsidRPr="0020782B">
        <w:rPr>
          <w:rFonts w:ascii="Arial" w:hAnsi="Arial" w:cs="Arial"/>
          <w:color w:val="7030A0"/>
        </w:rPr>
        <w:t xml:space="preserve">, </w:t>
      </w:r>
      <w:r w:rsidRPr="0020782B">
        <w:rPr>
          <w:rFonts w:ascii="Arial" w:hAnsi="Arial" w:cs="Arial"/>
        </w:rPr>
        <w:t xml:space="preserve">and may include </w:t>
      </w:r>
      <w:r w:rsidRPr="0020782B">
        <w:rPr>
          <w:rFonts w:ascii="Arial" w:hAnsi="Arial" w:cs="Arial"/>
          <w:color w:val="1F1F1F"/>
          <w:shd w:val="clear" w:color="auto" w:fill="FFFFFF"/>
        </w:rPr>
        <w:t>other federal requirements</w:t>
      </w:r>
      <w:r w:rsidRPr="0020782B">
        <w:rPr>
          <w:rFonts w:ascii="Arial" w:hAnsi="Arial" w:cs="Arial"/>
        </w:rPr>
        <w:t xml:space="preserve"> from the awarding agency. </w:t>
      </w:r>
    </w:p>
    <w:p w14:paraId="653E4BBD" w14:textId="77777777" w:rsidR="00EA6719" w:rsidRPr="0020782B" w:rsidRDefault="00EA6719" w:rsidP="00EA6719">
      <w:pPr>
        <w:spacing w:after="0" w:line="240" w:lineRule="auto"/>
        <w:rPr>
          <w:rFonts w:ascii="Arial" w:hAnsi="Arial" w:cs="Arial"/>
        </w:rPr>
      </w:pPr>
    </w:p>
    <w:p w14:paraId="21EC8248" w14:textId="77777777" w:rsidR="00EA6719" w:rsidRPr="0020782B" w:rsidRDefault="00C06DC6" w:rsidP="00EA6719">
      <w:pPr>
        <w:numPr>
          <w:ilvl w:val="0"/>
          <w:numId w:val="9"/>
        </w:numPr>
        <w:spacing w:line="240" w:lineRule="auto"/>
        <w:contextualSpacing/>
        <w:rPr>
          <w:rFonts w:ascii="Arial" w:eastAsiaTheme="minorEastAsia" w:hAnsi="Arial" w:cs="Arial"/>
        </w:rPr>
      </w:pPr>
      <w:r w:rsidRPr="0020782B">
        <w:rPr>
          <w:rFonts w:ascii="Arial" w:eastAsiaTheme="minorEastAsia" w:hAnsi="Arial" w:cs="Arial"/>
        </w:rPr>
        <w:lastRenderedPageBreak/>
        <w:t>The PI or the Grant Accounting Officer will initiate any budget revision (external or internal)</w:t>
      </w:r>
      <w:r w:rsidR="00EA6719" w:rsidRPr="0020782B">
        <w:rPr>
          <w:rFonts w:ascii="Arial" w:eastAsiaTheme="minorEastAsia" w:hAnsi="Arial" w:cs="Arial"/>
        </w:rPr>
        <w:t xml:space="preserve">. </w:t>
      </w:r>
    </w:p>
    <w:p w14:paraId="094EB7DC" w14:textId="77777777" w:rsidR="00EA6719" w:rsidRPr="0020782B" w:rsidRDefault="00EA6719" w:rsidP="00EA6719">
      <w:pPr>
        <w:numPr>
          <w:ilvl w:val="0"/>
          <w:numId w:val="9"/>
        </w:numPr>
        <w:spacing w:line="240" w:lineRule="auto"/>
        <w:contextualSpacing/>
        <w:rPr>
          <w:rFonts w:ascii="Arial" w:eastAsiaTheme="minorEastAsia" w:hAnsi="Arial" w:cs="Arial"/>
        </w:rPr>
      </w:pPr>
      <w:r w:rsidRPr="0020782B">
        <w:rPr>
          <w:rFonts w:ascii="Arial" w:eastAsiaTheme="minorEastAsia" w:hAnsi="Arial" w:cs="Arial"/>
        </w:rPr>
        <w:t>External budget revisions that require prior sponsor agency approval will be completed according to the awarding agency guidelines. Since each awarding agency has different policies regarding the need for a budget revision (i.e. no need for a budget revision if within 10% per budget line item), the PI and/or Grant Accounting Officer will review the awarding agency polices concerning budget revisions.</w:t>
      </w:r>
    </w:p>
    <w:p w14:paraId="2BF03323" w14:textId="77777777" w:rsidR="00EA6719" w:rsidRPr="0020782B" w:rsidRDefault="00EA6719" w:rsidP="00EA6719">
      <w:pPr>
        <w:numPr>
          <w:ilvl w:val="0"/>
          <w:numId w:val="9"/>
        </w:numPr>
        <w:spacing w:line="240" w:lineRule="auto"/>
        <w:contextualSpacing/>
        <w:rPr>
          <w:rFonts w:ascii="Arial" w:eastAsiaTheme="minorEastAsia" w:hAnsi="Arial" w:cs="Arial"/>
        </w:rPr>
      </w:pPr>
      <w:r w:rsidRPr="0020782B">
        <w:rPr>
          <w:rFonts w:ascii="Arial" w:eastAsiaTheme="minorEastAsia" w:hAnsi="Arial" w:cs="Arial"/>
        </w:rPr>
        <w:t>If there is a need requiring the sponsored agency approval for a budget revision, the PI or Grant Accounting Officer will initiate the request and the Grant Accounting Officer will make the request to the sponsoring agency using the required forms. When the sponsoring agency approves the request, the Grant Accounting Officer will make the budget revisions in the accounting system and file the form in the grant folder.</w:t>
      </w:r>
    </w:p>
    <w:p w14:paraId="38E692BE" w14:textId="77777777" w:rsidR="00EA6719" w:rsidRPr="0020782B" w:rsidRDefault="00EA6719" w:rsidP="00EA6719">
      <w:pPr>
        <w:numPr>
          <w:ilvl w:val="0"/>
          <w:numId w:val="9"/>
        </w:numPr>
        <w:spacing w:line="240" w:lineRule="auto"/>
        <w:contextualSpacing/>
        <w:rPr>
          <w:rFonts w:ascii="Arial" w:eastAsiaTheme="minorEastAsia" w:hAnsi="Arial" w:cs="Arial"/>
        </w:rPr>
      </w:pPr>
      <w:r w:rsidRPr="0020782B">
        <w:rPr>
          <w:rFonts w:ascii="Arial" w:eastAsiaTheme="minorEastAsia" w:hAnsi="Arial" w:cs="Arial"/>
        </w:rPr>
        <w:t>If there are insufficient funds noted in the processing of a purchase order, the PI or designee must notify the Grant Accounting Officer of the request for the transfer of funds based on grant regulations.  The request will be made on the Budget Transaction Form or e-mail and sent to the Business Office for processing and filing. These adjustments will be kept electronically and/or hard copy.</w:t>
      </w:r>
    </w:p>
    <w:p w14:paraId="00985260" w14:textId="77777777" w:rsidR="00EA6719" w:rsidRPr="0020782B" w:rsidRDefault="00EA6719" w:rsidP="00EA6719">
      <w:pPr>
        <w:numPr>
          <w:ilvl w:val="0"/>
          <w:numId w:val="9"/>
        </w:numPr>
        <w:spacing w:line="240" w:lineRule="auto"/>
        <w:contextualSpacing/>
        <w:rPr>
          <w:rFonts w:ascii="Arial" w:eastAsiaTheme="minorEastAsia" w:hAnsi="Arial" w:cs="Arial"/>
        </w:rPr>
      </w:pPr>
      <w:r w:rsidRPr="0020782B">
        <w:rPr>
          <w:rFonts w:ascii="Arial" w:eastAsiaTheme="minorEastAsia" w:hAnsi="Arial" w:cs="Arial"/>
        </w:rPr>
        <w:t>The reasons for a budget revision to be denied internally would be the timing of the request, budget issues, or the budget request is for an unallowable cost.</w:t>
      </w:r>
    </w:p>
    <w:p w14:paraId="0DFCCE6C" w14:textId="77777777" w:rsidR="00E7188D" w:rsidRPr="0020782B" w:rsidRDefault="00E7188D" w:rsidP="00EA6719">
      <w:pPr>
        <w:spacing w:after="0" w:line="240" w:lineRule="auto"/>
        <w:rPr>
          <w:rFonts w:ascii="Arial" w:hAnsi="Arial" w:cs="Arial"/>
          <w:b/>
        </w:rPr>
      </w:pPr>
    </w:p>
    <w:p w14:paraId="10D9E360" w14:textId="4F10676A" w:rsidR="00EA6719" w:rsidRPr="0020782B" w:rsidRDefault="00EA6719" w:rsidP="00EA6719">
      <w:pPr>
        <w:spacing w:after="0" w:line="240" w:lineRule="auto"/>
        <w:rPr>
          <w:rFonts w:ascii="Arial" w:hAnsi="Arial" w:cs="Arial"/>
          <w:b/>
        </w:rPr>
      </w:pPr>
      <w:r w:rsidRPr="0020782B">
        <w:rPr>
          <w:rFonts w:ascii="Arial" w:hAnsi="Arial" w:cs="Arial"/>
          <w:b/>
        </w:rPr>
        <w:t>Cost Principles</w:t>
      </w:r>
      <w:r w:rsidR="0020782B">
        <w:rPr>
          <w:rFonts w:ascii="Arial" w:hAnsi="Arial" w:cs="Arial"/>
          <w:b/>
        </w:rPr>
        <w:t>:</w:t>
      </w:r>
    </w:p>
    <w:p w14:paraId="11F4A747" w14:textId="77777777" w:rsidR="00EA6719" w:rsidRPr="0020782B" w:rsidRDefault="00EA6719" w:rsidP="00EA6719">
      <w:pPr>
        <w:spacing w:after="0" w:line="240" w:lineRule="auto"/>
        <w:rPr>
          <w:rFonts w:ascii="Arial" w:hAnsi="Arial" w:cs="Arial"/>
        </w:rPr>
      </w:pPr>
      <w:r w:rsidRPr="0020782B">
        <w:rPr>
          <w:rFonts w:ascii="Arial" w:hAnsi="Arial" w:cs="Arial"/>
        </w:rPr>
        <w:t xml:space="preserve">All expenditures will follow and be in compliance with the Uniform Guidance 2 CFR 200.402-200.405 found at: </w:t>
      </w:r>
      <w:hyperlink r:id="rId12" w:tgtFrame="_blank" w:history="1">
        <w:r w:rsidRPr="0020782B">
          <w:rPr>
            <w:rFonts w:ascii="Arial" w:hAnsi="Arial" w:cs="Arial"/>
            <w:color w:val="7030A0"/>
            <w:u w:val="single"/>
            <w:shd w:val="clear" w:color="auto" w:fill="FFFFFF"/>
          </w:rPr>
          <w:t>2 CFR 200, Uniform Guidance (Uniform Administrative Requirements, Cost Principles, and Audit Requirements for Federal Awards)</w:t>
        </w:r>
      </w:hyperlink>
      <w:r w:rsidRPr="0020782B">
        <w:rPr>
          <w:rFonts w:ascii="Arial" w:hAnsi="Arial" w:cs="Arial"/>
          <w:color w:val="7030A0"/>
        </w:rPr>
        <w:t>,</w:t>
      </w:r>
      <w:r w:rsidRPr="0020782B">
        <w:rPr>
          <w:rFonts w:ascii="Arial" w:hAnsi="Arial" w:cs="Arial"/>
        </w:rPr>
        <w:t xml:space="preserve"> and may include </w:t>
      </w:r>
      <w:r w:rsidRPr="0020782B">
        <w:rPr>
          <w:rFonts w:ascii="Arial" w:hAnsi="Arial" w:cs="Arial"/>
          <w:color w:val="1F1F1F"/>
          <w:shd w:val="clear" w:color="auto" w:fill="FFFFFF"/>
        </w:rPr>
        <w:t>other federal requirements</w:t>
      </w:r>
      <w:r w:rsidRPr="0020782B">
        <w:rPr>
          <w:rFonts w:ascii="Arial" w:hAnsi="Arial" w:cs="Arial"/>
        </w:rPr>
        <w:t xml:space="preserve"> from the awarding agency. </w:t>
      </w:r>
    </w:p>
    <w:p w14:paraId="71C21A9E" w14:textId="77777777" w:rsidR="00EA6719" w:rsidRPr="0020782B" w:rsidRDefault="00EA6719" w:rsidP="00EA6719">
      <w:pPr>
        <w:spacing w:after="0" w:line="240" w:lineRule="auto"/>
        <w:rPr>
          <w:rFonts w:ascii="Arial" w:hAnsi="Arial" w:cs="Arial"/>
          <w:b/>
        </w:rPr>
      </w:pPr>
    </w:p>
    <w:p w14:paraId="3E8418B5" w14:textId="77777777" w:rsidR="00EA6719" w:rsidRPr="0020782B" w:rsidRDefault="00EA6719" w:rsidP="00EA6719">
      <w:pPr>
        <w:numPr>
          <w:ilvl w:val="0"/>
          <w:numId w:val="10"/>
        </w:numPr>
        <w:spacing w:line="240" w:lineRule="auto"/>
        <w:contextualSpacing/>
        <w:rPr>
          <w:rFonts w:ascii="Arial" w:eastAsiaTheme="minorEastAsia" w:hAnsi="Arial" w:cs="Arial"/>
        </w:rPr>
      </w:pPr>
      <w:r w:rsidRPr="0020782B">
        <w:rPr>
          <w:rFonts w:ascii="Arial" w:eastAsiaTheme="minorEastAsia" w:hAnsi="Arial" w:cs="Arial"/>
        </w:rPr>
        <w:t xml:space="preserve">All expenditures must follow the guidelines of the awarding agency and MnSCU Board Policies and Procedures found at: </w:t>
      </w:r>
      <w:hyperlink r:id="rId13" w:history="1">
        <w:r w:rsidRPr="0020782B">
          <w:rPr>
            <w:rFonts w:ascii="Arial" w:eastAsiaTheme="minorEastAsia" w:hAnsi="Arial" w:cs="Arial"/>
            <w:color w:val="7030A0"/>
            <w:u w:val="single"/>
          </w:rPr>
          <w:t>http://www.mnscu.edu/board/policy/index.html</w:t>
        </w:r>
      </w:hyperlink>
      <w:r w:rsidRPr="0020782B">
        <w:rPr>
          <w:rFonts w:ascii="Arial" w:eastAsiaTheme="minorEastAsia" w:hAnsi="Arial" w:cs="Arial"/>
          <w:color w:val="7030A0"/>
        </w:rPr>
        <w:t xml:space="preserve"> </w:t>
      </w:r>
    </w:p>
    <w:p w14:paraId="6CB4B496" w14:textId="77777777" w:rsidR="00EA6719" w:rsidRPr="0020782B" w:rsidRDefault="00EA6719" w:rsidP="00EA6719">
      <w:pPr>
        <w:numPr>
          <w:ilvl w:val="0"/>
          <w:numId w:val="10"/>
        </w:numPr>
        <w:spacing w:line="240" w:lineRule="auto"/>
        <w:contextualSpacing/>
        <w:rPr>
          <w:rFonts w:ascii="Arial" w:eastAsiaTheme="minorEastAsia" w:hAnsi="Arial" w:cs="Arial"/>
        </w:rPr>
      </w:pPr>
      <w:r w:rsidRPr="0020782B">
        <w:rPr>
          <w:rFonts w:ascii="Arial" w:eastAsiaTheme="minorEastAsia" w:hAnsi="Arial" w:cs="Arial"/>
        </w:rPr>
        <w:t>The PI is responsible for compliance of respective grantor policies and regulations.</w:t>
      </w:r>
    </w:p>
    <w:p w14:paraId="6B80E0B7" w14:textId="77777777" w:rsidR="00EA6719" w:rsidRPr="0020782B" w:rsidRDefault="00EA6719" w:rsidP="00EA6719">
      <w:pPr>
        <w:numPr>
          <w:ilvl w:val="0"/>
          <w:numId w:val="10"/>
        </w:numPr>
        <w:spacing w:line="240" w:lineRule="auto"/>
        <w:contextualSpacing/>
        <w:rPr>
          <w:rFonts w:ascii="Arial" w:eastAsiaTheme="minorEastAsia" w:hAnsi="Arial" w:cs="Arial"/>
        </w:rPr>
      </w:pPr>
      <w:r w:rsidRPr="0020782B">
        <w:rPr>
          <w:rFonts w:ascii="Arial" w:eastAsiaTheme="minorEastAsia" w:hAnsi="Arial" w:cs="Arial"/>
        </w:rPr>
        <w:t>The PI or designee is responsible for all purchases made against the grant/contract cost center and must ensure correct coding. Also, the PI or designee is responsible for ensuring that expenditures are necessary, reasonable, allocable, and allowable under the applicable cost principles and the grantor’s policies. Additionally, the grant expenditures must be within the budget parameters.</w:t>
      </w:r>
    </w:p>
    <w:p w14:paraId="4A39C0FE" w14:textId="77777777" w:rsidR="00EA6719" w:rsidRPr="0020782B" w:rsidRDefault="00EA6719" w:rsidP="00EA6719">
      <w:pPr>
        <w:numPr>
          <w:ilvl w:val="0"/>
          <w:numId w:val="10"/>
        </w:numPr>
        <w:spacing w:after="0" w:line="240" w:lineRule="auto"/>
        <w:contextualSpacing/>
        <w:rPr>
          <w:rFonts w:ascii="Arial" w:eastAsiaTheme="minorEastAsia" w:hAnsi="Arial" w:cs="Arial"/>
        </w:rPr>
      </w:pPr>
      <w:r w:rsidRPr="0020782B">
        <w:rPr>
          <w:rFonts w:ascii="Arial" w:eastAsiaTheme="minorEastAsia" w:hAnsi="Arial" w:cs="Arial"/>
        </w:rPr>
        <w:t>The accounts payable staff in the business office ensures the disbursements are recorded in Accounting on the Web in the correct period based on the documentation using established conventions for occurrence dates. These documents are matched with purchase orders, contracts and receipt of goods documents (if applicable).</w:t>
      </w:r>
    </w:p>
    <w:p w14:paraId="24ADBB7F" w14:textId="77777777" w:rsidR="00EA6719" w:rsidRPr="0020782B" w:rsidRDefault="00EA6719" w:rsidP="00EA6719">
      <w:pPr>
        <w:numPr>
          <w:ilvl w:val="0"/>
          <w:numId w:val="10"/>
        </w:numPr>
        <w:spacing w:after="0" w:line="240" w:lineRule="auto"/>
        <w:contextualSpacing/>
        <w:rPr>
          <w:rFonts w:ascii="Arial" w:eastAsiaTheme="minorEastAsia" w:hAnsi="Arial" w:cs="Arial"/>
        </w:rPr>
      </w:pPr>
      <w:r w:rsidRPr="0020782B">
        <w:rPr>
          <w:rFonts w:ascii="Arial" w:eastAsiaTheme="minorEastAsia" w:hAnsi="Arial" w:cs="Arial"/>
        </w:rPr>
        <w:t xml:space="preserve">The payment documents are filed in the Accounts Payable department. </w:t>
      </w:r>
    </w:p>
    <w:p w14:paraId="37FECE34" w14:textId="77777777" w:rsidR="008A3344" w:rsidRPr="0020782B" w:rsidRDefault="008A3344" w:rsidP="008A3344">
      <w:pPr>
        <w:spacing w:after="0" w:line="240" w:lineRule="auto"/>
        <w:ind w:left="720"/>
        <w:contextualSpacing/>
        <w:rPr>
          <w:rFonts w:ascii="Arial" w:eastAsiaTheme="minorEastAsia" w:hAnsi="Arial" w:cs="Arial"/>
        </w:rPr>
      </w:pPr>
    </w:p>
    <w:p w14:paraId="4987E535" w14:textId="4297A4E8" w:rsidR="008A3344" w:rsidRPr="0020782B" w:rsidRDefault="008A3344" w:rsidP="008A3344">
      <w:pPr>
        <w:spacing w:after="0" w:line="240" w:lineRule="auto"/>
        <w:rPr>
          <w:rFonts w:ascii="Arial" w:hAnsi="Arial" w:cs="Arial"/>
          <w:b/>
        </w:rPr>
      </w:pPr>
      <w:r w:rsidRPr="0020782B">
        <w:rPr>
          <w:rFonts w:ascii="Arial" w:hAnsi="Arial" w:cs="Arial"/>
          <w:b/>
        </w:rPr>
        <w:t>Participant Support Costs</w:t>
      </w:r>
      <w:r w:rsidR="0020782B">
        <w:rPr>
          <w:rFonts w:ascii="Arial" w:hAnsi="Arial" w:cs="Arial"/>
          <w:b/>
        </w:rPr>
        <w:t>:</w:t>
      </w:r>
    </w:p>
    <w:p w14:paraId="7D7108FA" w14:textId="77777777" w:rsidR="00E7188D" w:rsidRPr="0020782B" w:rsidRDefault="00E7188D" w:rsidP="008A3344">
      <w:pPr>
        <w:spacing w:after="0" w:line="240" w:lineRule="auto"/>
        <w:rPr>
          <w:rFonts w:ascii="Arial" w:hAnsi="Arial" w:cs="Arial"/>
        </w:rPr>
      </w:pPr>
      <w:r w:rsidRPr="0020782B">
        <w:rPr>
          <w:rFonts w:ascii="Arial" w:hAnsi="Arial" w:cs="Arial"/>
        </w:rPr>
        <w:t xml:space="preserve">Participant support costs </w:t>
      </w:r>
      <w:r w:rsidR="008A3344" w:rsidRPr="0020782B">
        <w:rPr>
          <w:rFonts w:ascii="Arial" w:hAnsi="Arial" w:cs="Arial"/>
        </w:rPr>
        <w:t xml:space="preserve">will </w:t>
      </w:r>
      <w:r w:rsidR="00AB686D" w:rsidRPr="0020782B">
        <w:rPr>
          <w:rFonts w:ascii="Arial" w:hAnsi="Arial" w:cs="Arial"/>
        </w:rPr>
        <w:t>comply</w:t>
      </w:r>
      <w:r w:rsidR="008A3344" w:rsidRPr="0020782B">
        <w:rPr>
          <w:rFonts w:ascii="Arial" w:hAnsi="Arial" w:cs="Arial"/>
        </w:rPr>
        <w:t xml:space="preserve"> with the Uniform Guidance 2 CFR 200.</w:t>
      </w:r>
      <w:r w:rsidRPr="0020782B">
        <w:rPr>
          <w:rFonts w:ascii="Arial" w:hAnsi="Arial" w:cs="Arial"/>
        </w:rPr>
        <w:t xml:space="preserve">75 and 2CFR </w:t>
      </w:r>
      <w:r w:rsidR="008A3344" w:rsidRPr="0020782B">
        <w:rPr>
          <w:rFonts w:ascii="Arial" w:hAnsi="Arial" w:cs="Arial"/>
        </w:rPr>
        <w:t>200.4</w:t>
      </w:r>
      <w:r w:rsidRPr="0020782B">
        <w:rPr>
          <w:rFonts w:ascii="Arial" w:hAnsi="Arial" w:cs="Arial"/>
        </w:rPr>
        <w:t>56</w:t>
      </w:r>
      <w:r w:rsidR="008A3344" w:rsidRPr="0020782B">
        <w:rPr>
          <w:rFonts w:ascii="Arial" w:hAnsi="Arial" w:cs="Arial"/>
        </w:rPr>
        <w:t xml:space="preserve"> found </w:t>
      </w:r>
      <w:r w:rsidR="00AB686D" w:rsidRPr="0020782B">
        <w:rPr>
          <w:rFonts w:ascii="Arial" w:hAnsi="Arial" w:cs="Arial"/>
        </w:rPr>
        <w:t>at</w:t>
      </w:r>
      <w:r w:rsidR="008A3344" w:rsidRPr="0020782B">
        <w:rPr>
          <w:rFonts w:ascii="Arial" w:hAnsi="Arial" w:cs="Arial"/>
        </w:rPr>
        <w:t xml:space="preserve"> </w:t>
      </w:r>
      <w:hyperlink r:id="rId14" w:tgtFrame="_blank" w:history="1">
        <w:r w:rsidR="008A3344" w:rsidRPr="0020782B">
          <w:rPr>
            <w:rFonts w:ascii="Arial" w:hAnsi="Arial" w:cs="Arial"/>
            <w:u w:val="single"/>
            <w:shd w:val="clear" w:color="auto" w:fill="FFFFFF"/>
          </w:rPr>
          <w:t>2 CFR 200, Uniform Guidance (Uniform Administrative Requirements, Cost Principles, and Audit Requirements for Federal Awards)</w:t>
        </w:r>
      </w:hyperlink>
      <w:r w:rsidR="008A3344" w:rsidRPr="0020782B">
        <w:rPr>
          <w:rFonts w:ascii="Arial" w:hAnsi="Arial" w:cs="Arial"/>
        </w:rPr>
        <w:t xml:space="preserve">, and may include </w:t>
      </w:r>
      <w:r w:rsidR="008A3344" w:rsidRPr="0020782B">
        <w:rPr>
          <w:rFonts w:ascii="Arial" w:hAnsi="Arial" w:cs="Arial"/>
          <w:shd w:val="clear" w:color="auto" w:fill="FFFFFF"/>
        </w:rPr>
        <w:t>other federal requirements</w:t>
      </w:r>
      <w:r w:rsidR="006B18BD" w:rsidRPr="0020782B">
        <w:rPr>
          <w:rFonts w:ascii="Arial" w:hAnsi="Arial" w:cs="Arial"/>
        </w:rPr>
        <w:t xml:space="preserve"> from the awarding agency. </w:t>
      </w:r>
    </w:p>
    <w:p w14:paraId="74726025" w14:textId="77777777" w:rsidR="00E7188D" w:rsidRPr="0020782B" w:rsidRDefault="00E7188D" w:rsidP="008A3344">
      <w:pPr>
        <w:spacing w:after="0" w:line="240" w:lineRule="auto"/>
        <w:rPr>
          <w:rFonts w:ascii="Arial" w:hAnsi="Arial" w:cs="Arial"/>
        </w:rPr>
      </w:pPr>
    </w:p>
    <w:p w14:paraId="62DF590F" w14:textId="77777777" w:rsidR="00E7188D" w:rsidRPr="0020782B" w:rsidRDefault="00E7188D" w:rsidP="00E7188D">
      <w:pPr>
        <w:pStyle w:val="ListParagraph"/>
        <w:numPr>
          <w:ilvl w:val="0"/>
          <w:numId w:val="17"/>
        </w:numPr>
        <w:rPr>
          <w:rFonts w:ascii="Arial" w:eastAsiaTheme="minorEastAsia" w:hAnsi="Arial" w:cs="Arial"/>
        </w:rPr>
      </w:pPr>
      <w:r w:rsidRPr="0020782B">
        <w:rPr>
          <w:rFonts w:ascii="Arial" w:eastAsiaTheme="minorEastAsia" w:hAnsi="Arial" w:cs="Arial"/>
        </w:rPr>
        <w:t>Participant support costs will have</w:t>
      </w:r>
      <w:r w:rsidR="00AB686D" w:rsidRPr="0020782B">
        <w:rPr>
          <w:rFonts w:ascii="Arial" w:eastAsiaTheme="minorEastAsia" w:hAnsi="Arial" w:cs="Arial"/>
        </w:rPr>
        <w:t xml:space="preserve"> an identifiable account that separates those costs in the accounting system.</w:t>
      </w:r>
      <w:r w:rsidRPr="0020782B">
        <w:rPr>
          <w:rFonts w:ascii="Arial" w:eastAsiaTheme="minorEastAsia" w:hAnsi="Arial" w:cs="Arial"/>
        </w:rPr>
        <w:t xml:space="preserve"> </w:t>
      </w:r>
    </w:p>
    <w:p w14:paraId="2D688AC3" w14:textId="77777777" w:rsidR="00E7188D" w:rsidRPr="0020782B" w:rsidRDefault="00E7188D" w:rsidP="00E7188D">
      <w:pPr>
        <w:pStyle w:val="ListParagraph"/>
        <w:numPr>
          <w:ilvl w:val="0"/>
          <w:numId w:val="17"/>
        </w:numPr>
        <w:rPr>
          <w:rFonts w:ascii="Arial" w:eastAsiaTheme="minorEastAsia" w:hAnsi="Arial" w:cs="Arial"/>
        </w:rPr>
      </w:pPr>
      <w:r w:rsidRPr="0020782B">
        <w:rPr>
          <w:rFonts w:ascii="Arial" w:eastAsiaTheme="minorEastAsia" w:hAnsi="Arial" w:cs="Arial"/>
        </w:rPr>
        <w:lastRenderedPageBreak/>
        <w:t>Participant support costs are allowable with prior approval from the Federal awarding agency.</w:t>
      </w:r>
    </w:p>
    <w:p w14:paraId="1EA02D6A" w14:textId="77777777" w:rsidR="006B18BD" w:rsidRPr="0020782B" w:rsidRDefault="006B18BD" w:rsidP="00E7188D">
      <w:pPr>
        <w:pStyle w:val="ListParagraph"/>
        <w:numPr>
          <w:ilvl w:val="0"/>
          <w:numId w:val="17"/>
        </w:numPr>
        <w:rPr>
          <w:rFonts w:ascii="Arial" w:eastAsiaTheme="minorEastAsia" w:hAnsi="Arial" w:cs="Arial"/>
        </w:rPr>
      </w:pPr>
      <w:r w:rsidRPr="0020782B">
        <w:rPr>
          <w:rFonts w:ascii="Arial" w:eastAsiaTheme="minorEastAsia" w:hAnsi="Arial" w:cs="Arial"/>
        </w:rPr>
        <w:t xml:space="preserve">Participant support costs may not be re-budgeted in </w:t>
      </w:r>
      <w:r w:rsidR="004E3EDD" w:rsidRPr="0020782B">
        <w:rPr>
          <w:rFonts w:ascii="Arial" w:eastAsiaTheme="minorEastAsia" w:hAnsi="Arial" w:cs="Arial"/>
        </w:rPr>
        <w:t>different budget categories without an approved budget modification from the awarding agency.</w:t>
      </w:r>
      <w:r w:rsidRPr="0020782B">
        <w:rPr>
          <w:rFonts w:ascii="Arial" w:eastAsiaTheme="minorEastAsia" w:hAnsi="Arial" w:cs="Arial"/>
        </w:rPr>
        <w:t xml:space="preserve">  </w:t>
      </w:r>
    </w:p>
    <w:p w14:paraId="01FAF56E" w14:textId="77777777" w:rsidR="00E7188D" w:rsidRPr="0020782B" w:rsidRDefault="00E7188D" w:rsidP="00E7188D">
      <w:pPr>
        <w:pStyle w:val="ListParagraph"/>
        <w:numPr>
          <w:ilvl w:val="0"/>
          <w:numId w:val="17"/>
        </w:numPr>
        <w:rPr>
          <w:rFonts w:ascii="Arial" w:eastAsiaTheme="minorEastAsia" w:hAnsi="Arial" w:cs="Arial"/>
        </w:rPr>
      </w:pPr>
      <w:r w:rsidRPr="0020782B">
        <w:rPr>
          <w:rFonts w:ascii="Arial" w:eastAsiaTheme="minorEastAsia" w:hAnsi="Arial" w:cs="Arial"/>
        </w:rPr>
        <w:t xml:space="preserve">Participant </w:t>
      </w:r>
      <w:r w:rsidR="006B18BD" w:rsidRPr="0020782B">
        <w:rPr>
          <w:rFonts w:ascii="Arial" w:eastAsiaTheme="minorEastAsia" w:hAnsi="Arial" w:cs="Arial"/>
        </w:rPr>
        <w:t>s</w:t>
      </w:r>
      <w:r w:rsidRPr="0020782B">
        <w:rPr>
          <w:rFonts w:ascii="Arial" w:eastAsiaTheme="minorEastAsia" w:hAnsi="Arial" w:cs="Arial"/>
        </w:rPr>
        <w:t xml:space="preserve">upport </w:t>
      </w:r>
      <w:r w:rsidR="006B18BD" w:rsidRPr="0020782B">
        <w:rPr>
          <w:rFonts w:ascii="Arial" w:eastAsiaTheme="minorEastAsia" w:hAnsi="Arial" w:cs="Arial"/>
        </w:rPr>
        <w:t>c</w:t>
      </w:r>
      <w:r w:rsidRPr="0020782B">
        <w:rPr>
          <w:rFonts w:ascii="Arial" w:eastAsiaTheme="minorEastAsia" w:hAnsi="Arial" w:cs="Arial"/>
        </w:rPr>
        <w:t>osts are not included in the calculation of the indirect cost rate.</w:t>
      </w:r>
    </w:p>
    <w:p w14:paraId="13A6401A" w14:textId="77777777" w:rsidR="006B18BD" w:rsidRPr="0020782B" w:rsidRDefault="00E7188D" w:rsidP="004E3EDD">
      <w:pPr>
        <w:pStyle w:val="ListParagraph"/>
        <w:numPr>
          <w:ilvl w:val="0"/>
          <w:numId w:val="17"/>
        </w:numPr>
        <w:rPr>
          <w:rFonts w:ascii="Arial" w:eastAsiaTheme="minorEastAsia" w:hAnsi="Arial" w:cs="Arial"/>
        </w:rPr>
      </w:pPr>
      <w:r w:rsidRPr="0020782B">
        <w:rPr>
          <w:rFonts w:ascii="Arial" w:eastAsiaTheme="minorEastAsia" w:hAnsi="Arial" w:cs="Arial"/>
        </w:rPr>
        <w:t>Employees may not be participants.</w:t>
      </w:r>
    </w:p>
    <w:p w14:paraId="6BF5CF55" w14:textId="77777777" w:rsidR="008A3344" w:rsidRPr="0020782B" w:rsidRDefault="008A3344" w:rsidP="008A3344">
      <w:pPr>
        <w:spacing w:after="0" w:line="240" w:lineRule="auto"/>
        <w:rPr>
          <w:rFonts w:ascii="Arial" w:hAnsi="Arial" w:cs="Arial"/>
          <w:b/>
        </w:rPr>
      </w:pPr>
    </w:p>
    <w:p w14:paraId="76429A8F" w14:textId="2790AE71" w:rsidR="00EA6719" w:rsidRPr="0020782B" w:rsidRDefault="00EA6719" w:rsidP="00EA6719">
      <w:pPr>
        <w:spacing w:after="0" w:line="240" w:lineRule="auto"/>
        <w:rPr>
          <w:rFonts w:ascii="Arial" w:hAnsi="Arial" w:cs="Arial"/>
          <w:b/>
        </w:rPr>
      </w:pPr>
      <w:r w:rsidRPr="0020782B">
        <w:rPr>
          <w:rFonts w:ascii="Arial" w:hAnsi="Arial" w:cs="Arial"/>
          <w:b/>
        </w:rPr>
        <w:t>Grant Reporting (Drawdown of Funds)</w:t>
      </w:r>
      <w:r w:rsidR="0020782B">
        <w:rPr>
          <w:rFonts w:ascii="Arial" w:hAnsi="Arial" w:cs="Arial"/>
          <w:b/>
        </w:rPr>
        <w:t>:</w:t>
      </w:r>
    </w:p>
    <w:p w14:paraId="74304446" w14:textId="77777777" w:rsidR="00EA6719" w:rsidRPr="0020782B" w:rsidRDefault="00EA6719" w:rsidP="00EA6719">
      <w:pPr>
        <w:spacing w:after="0" w:line="240" w:lineRule="auto"/>
        <w:rPr>
          <w:rFonts w:ascii="Arial" w:hAnsi="Arial" w:cs="Arial"/>
        </w:rPr>
      </w:pPr>
      <w:r w:rsidRPr="0020782B">
        <w:rPr>
          <w:rFonts w:ascii="Arial" w:hAnsi="Arial" w:cs="Arial"/>
        </w:rPr>
        <w:t xml:space="preserve">All drawdown of funds will follow and be in compliance with the Uniform Guidance 2 CFR 200.305 found at: </w:t>
      </w:r>
      <w:hyperlink r:id="rId15" w:tgtFrame="_blank" w:history="1">
        <w:r w:rsidRPr="0020782B">
          <w:rPr>
            <w:rFonts w:ascii="Arial" w:hAnsi="Arial" w:cs="Arial"/>
            <w:color w:val="7030A0"/>
            <w:u w:val="single"/>
            <w:shd w:val="clear" w:color="auto" w:fill="FFFFFF"/>
          </w:rPr>
          <w:t>2 CFR 200, Uniform Guidance (Uniform Administrative Requirements, Cost Principles, and Audit Requirements for Federal Awards)</w:t>
        </w:r>
      </w:hyperlink>
      <w:r w:rsidRPr="0020782B">
        <w:rPr>
          <w:rFonts w:ascii="Arial" w:hAnsi="Arial" w:cs="Arial"/>
          <w:color w:val="7030A0"/>
        </w:rPr>
        <w:t>,</w:t>
      </w:r>
      <w:r w:rsidRPr="0020782B">
        <w:rPr>
          <w:rFonts w:ascii="Arial" w:hAnsi="Arial" w:cs="Arial"/>
        </w:rPr>
        <w:t xml:space="preserve"> and may include </w:t>
      </w:r>
      <w:r w:rsidRPr="0020782B">
        <w:rPr>
          <w:rFonts w:ascii="Arial" w:hAnsi="Arial" w:cs="Arial"/>
          <w:color w:val="1F1F1F"/>
          <w:shd w:val="clear" w:color="auto" w:fill="FFFFFF"/>
        </w:rPr>
        <w:t>other federal requirements</w:t>
      </w:r>
      <w:r w:rsidRPr="0020782B">
        <w:rPr>
          <w:rFonts w:ascii="Arial" w:hAnsi="Arial" w:cs="Arial"/>
        </w:rPr>
        <w:t xml:space="preserve"> from the awarding agency. </w:t>
      </w:r>
    </w:p>
    <w:p w14:paraId="7AB83A05" w14:textId="77777777" w:rsidR="00EA6719" w:rsidRPr="0020782B" w:rsidRDefault="00EA6719" w:rsidP="00EA6719">
      <w:pPr>
        <w:spacing w:after="0" w:line="240" w:lineRule="auto"/>
        <w:rPr>
          <w:rFonts w:ascii="Arial" w:hAnsi="Arial" w:cs="Arial"/>
        </w:rPr>
      </w:pPr>
    </w:p>
    <w:p w14:paraId="0896D71E" w14:textId="77777777" w:rsidR="00EA6719" w:rsidRPr="0020782B" w:rsidRDefault="00EA6719" w:rsidP="00EA6719">
      <w:pPr>
        <w:numPr>
          <w:ilvl w:val="0"/>
          <w:numId w:val="12"/>
        </w:numPr>
        <w:spacing w:after="0" w:line="240" w:lineRule="auto"/>
        <w:contextualSpacing/>
        <w:rPr>
          <w:rFonts w:ascii="Arial" w:eastAsiaTheme="minorEastAsia" w:hAnsi="Arial" w:cs="Arial"/>
        </w:rPr>
      </w:pPr>
      <w:r w:rsidRPr="0020782B">
        <w:rPr>
          <w:rFonts w:ascii="Arial" w:eastAsiaTheme="minorEastAsia" w:hAnsi="Arial" w:cs="Arial"/>
        </w:rPr>
        <w:t xml:space="preserve">Payment methods must minimize the time elapsing between the transfer of funds from the awarding agency and the disbursement of those funds by </w:t>
      </w:r>
      <w:r w:rsidR="00977417" w:rsidRPr="0020782B">
        <w:rPr>
          <w:rFonts w:ascii="Arial" w:eastAsiaTheme="minorEastAsia" w:hAnsi="Arial" w:cs="Arial"/>
        </w:rPr>
        <w:t>the</w:t>
      </w:r>
      <w:r w:rsidRPr="0020782B">
        <w:rPr>
          <w:rFonts w:ascii="Arial" w:eastAsiaTheme="minorEastAsia" w:hAnsi="Arial" w:cs="Arial"/>
        </w:rPr>
        <w:t xml:space="preserve"> </w:t>
      </w:r>
      <w:r w:rsidR="008B7226" w:rsidRPr="0020782B">
        <w:rPr>
          <w:rFonts w:ascii="Arial" w:eastAsiaTheme="minorEastAsia" w:hAnsi="Arial" w:cs="Arial"/>
        </w:rPr>
        <w:t>College</w:t>
      </w:r>
      <w:r w:rsidRPr="0020782B">
        <w:rPr>
          <w:rFonts w:ascii="Arial" w:eastAsiaTheme="minorEastAsia" w:hAnsi="Arial" w:cs="Arial"/>
        </w:rPr>
        <w:t>.</w:t>
      </w:r>
    </w:p>
    <w:p w14:paraId="1DC752C5" w14:textId="77777777" w:rsidR="00EA6719" w:rsidRPr="0020782B" w:rsidRDefault="00C06DC6" w:rsidP="00EA6719">
      <w:pPr>
        <w:numPr>
          <w:ilvl w:val="0"/>
          <w:numId w:val="12"/>
        </w:numPr>
        <w:spacing w:after="0" w:line="240" w:lineRule="auto"/>
        <w:contextualSpacing/>
        <w:rPr>
          <w:rFonts w:ascii="Arial" w:eastAsiaTheme="minorEastAsia" w:hAnsi="Arial" w:cs="Arial"/>
        </w:rPr>
      </w:pPr>
      <w:r w:rsidRPr="0020782B">
        <w:rPr>
          <w:rFonts w:ascii="Arial" w:eastAsiaTheme="minorEastAsia" w:hAnsi="Arial" w:cs="Arial"/>
        </w:rPr>
        <w:t>The cashiers in the Business Office in the proper cost center will receipt advances of grant funds</w:t>
      </w:r>
      <w:r w:rsidR="00EA6719" w:rsidRPr="0020782B">
        <w:rPr>
          <w:rFonts w:ascii="Arial" w:eastAsiaTheme="minorEastAsia" w:hAnsi="Arial" w:cs="Arial"/>
        </w:rPr>
        <w:t>.</w:t>
      </w:r>
    </w:p>
    <w:p w14:paraId="02BF243D" w14:textId="77777777" w:rsidR="00EA6719" w:rsidRPr="0020782B" w:rsidRDefault="00EA6719" w:rsidP="00EA6719">
      <w:pPr>
        <w:numPr>
          <w:ilvl w:val="0"/>
          <w:numId w:val="12"/>
        </w:numPr>
        <w:spacing w:after="0" w:line="240" w:lineRule="auto"/>
        <w:contextualSpacing/>
        <w:rPr>
          <w:rFonts w:ascii="Arial" w:eastAsiaTheme="minorEastAsia" w:hAnsi="Arial" w:cs="Arial"/>
        </w:rPr>
      </w:pPr>
      <w:r w:rsidRPr="0020782B">
        <w:rPr>
          <w:rFonts w:ascii="Arial" w:eastAsiaTheme="minorEastAsia" w:hAnsi="Arial" w:cs="Arial"/>
        </w:rPr>
        <w:t xml:space="preserve">Reimbursement requests will be calculated by </w:t>
      </w:r>
      <w:r w:rsidR="00977417" w:rsidRPr="0020782B">
        <w:rPr>
          <w:rFonts w:ascii="Arial" w:eastAsiaTheme="minorEastAsia" w:hAnsi="Arial" w:cs="Arial"/>
        </w:rPr>
        <w:t>the</w:t>
      </w:r>
      <w:r w:rsidRPr="0020782B">
        <w:rPr>
          <w:rFonts w:ascii="Arial" w:eastAsiaTheme="minorEastAsia" w:hAnsi="Arial" w:cs="Arial"/>
        </w:rPr>
        <w:t xml:space="preserve"> </w:t>
      </w:r>
      <w:r w:rsidR="008B7226" w:rsidRPr="0020782B">
        <w:rPr>
          <w:rFonts w:ascii="Arial" w:eastAsiaTheme="minorEastAsia" w:hAnsi="Arial" w:cs="Arial"/>
        </w:rPr>
        <w:t>College</w:t>
      </w:r>
      <w:r w:rsidRPr="0020782B">
        <w:rPr>
          <w:rFonts w:ascii="Arial" w:eastAsiaTheme="minorEastAsia" w:hAnsi="Arial" w:cs="Arial"/>
        </w:rPr>
        <w:t>’s Business Office manager or the Grant Accounting Officer, if applicable, reviewed and approved by the Business Office manager. These are the steps to prepare the reimbursements:</w:t>
      </w:r>
    </w:p>
    <w:p w14:paraId="79DDF560" w14:textId="77777777" w:rsidR="00EA6719" w:rsidRPr="0020782B" w:rsidRDefault="00EA6719" w:rsidP="00EA6719">
      <w:pPr>
        <w:numPr>
          <w:ilvl w:val="1"/>
          <w:numId w:val="12"/>
        </w:numPr>
        <w:spacing w:after="0" w:line="240" w:lineRule="auto"/>
        <w:contextualSpacing/>
        <w:rPr>
          <w:rFonts w:ascii="Arial" w:eastAsiaTheme="minorEastAsia" w:hAnsi="Arial" w:cs="Arial"/>
        </w:rPr>
      </w:pPr>
      <w:r w:rsidRPr="0020782B">
        <w:rPr>
          <w:rFonts w:ascii="Arial" w:eastAsiaTheme="minorEastAsia" w:hAnsi="Arial" w:cs="Arial"/>
        </w:rPr>
        <w:t>Run a grant summary report (AC0570CP) for the expenditures to date</w:t>
      </w:r>
    </w:p>
    <w:p w14:paraId="531B4D13" w14:textId="77777777" w:rsidR="00EA6719" w:rsidRPr="0020782B" w:rsidRDefault="00EA6719" w:rsidP="00EA6719">
      <w:pPr>
        <w:numPr>
          <w:ilvl w:val="1"/>
          <w:numId w:val="12"/>
        </w:numPr>
        <w:spacing w:after="0" w:line="240" w:lineRule="auto"/>
        <w:contextualSpacing/>
        <w:rPr>
          <w:rFonts w:ascii="Arial" w:eastAsiaTheme="minorEastAsia" w:hAnsi="Arial" w:cs="Arial"/>
        </w:rPr>
      </w:pPr>
      <w:r w:rsidRPr="0020782B">
        <w:rPr>
          <w:rFonts w:ascii="Arial" w:eastAsiaTheme="minorEastAsia" w:hAnsi="Arial" w:cs="Arial"/>
        </w:rPr>
        <w:t>Run a general ledger monthly report (AC0542</w:t>
      </w:r>
      <w:proofErr w:type="gramStart"/>
      <w:r w:rsidRPr="0020782B">
        <w:rPr>
          <w:rFonts w:ascii="Arial" w:eastAsiaTheme="minorEastAsia" w:hAnsi="Arial" w:cs="Arial"/>
        </w:rPr>
        <w:t>CP)for</w:t>
      </w:r>
      <w:proofErr w:type="gramEnd"/>
      <w:r w:rsidRPr="0020782B">
        <w:rPr>
          <w:rFonts w:ascii="Arial" w:eastAsiaTheme="minorEastAsia" w:hAnsi="Arial" w:cs="Arial"/>
        </w:rPr>
        <w:t xml:space="preserve"> cash on hand</w:t>
      </w:r>
    </w:p>
    <w:p w14:paraId="5968C3B8" w14:textId="77777777" w:rsidR="00EA6719" w:rsidRPr="0020782B" w:rsidRDefault="00EA6719" w:rsidP="00EA6719">
      <w:pPr>
        <w:numPr>
          <w:ilvl w:val="1"/>
          <w:numId w:val="12"/>
        </w:numPr>
        <w:spacing w:after="0" w:line="240" w:lineRule="auto"/>
        <w:contextualSpacing/>
        <w:rPr>
          <w:rFonts w:ascii="Arial" w:eastAsiaTheme="minorEastAsia" w:hAnsi="Arial" w:cs="Arial"/>
        </w:rPr>
      </w:pPr>
      <w:r w:rsidRPr="0020782B">
        <w:rPr>
          <w:rFonts w:ascii="Arial" w:eastAsiaTheme="minorEastAsia" w:hAnsi="Arial" w:cs="Arial"/>
        </w:rPr>
        <w:t>Enter the information on the spreadsheet for the selected awarding agency</w:t>
      </w:r>
    </w:p>
    <w:p w14:paraId="23294050" w14:textId="77777777" w:rsidR="00EA6719" w:rsidRPr="0020782B" w:rsidRDefault="00EA6719" w:rsidP="00EA6719">
      <w:pPr>
        <w:numPr>
          <w:ilvl w:val="1"/>
          <w:numId w:val="12"/>
        </w:numPr>
        <w:spacing w:after="0" w:line="240" w:lineRule="auto"/>
        <w:contextualSpacing/>
        <w:rPr>
          <w:rFonts w:ascii="Arial" w:eastAsiaTheme="minorEastAsia" w:hAnsi="Arial" w:cs="Arial"/>
        </w:rPr>
      </w:pPr>
      <w:r w:rsidRPr="0020782B">
        <w:rPr>
          <w:rFonts w:ascii="Arial" w:eastAsiaTheme="minorEastAsia" w:hAnsi="Arial" w:cs="Arial"/>
        </w:rPr>
        <w:t>If applicable, reviewed and approved by the Business Office manager</w:t>
      </w:r>
    </w:p>
    <w:p w14:paraId="00950812" w14:textId="77777777" w:rsidR="00EA6719" w:rsidRPr="0020782B" w:rsidRDefault="00EA6719" w:rsidP="00EA6719">
      <w:pPr>
        <w:numPr>
          <w:ilvl w:val="1"/>
          <w:numId w:val="12"/>
        </w:numPr>
        <w:spacing w:after="0" w:line="240" w:lineRule="auto"/>
        <w:contextualSpacing/>
        <w:rPr>
          <w:rFonts w:ascii="Arial" w:eastAsiaTheme="minorEastAsia" w:hAnsi="Arial" w:cs="Arial"/>
        </w:rPr>
      </w:pPr>
      <w:r w:rsidRPr="0020782B">
        <w:rPr>
          <w:rFonts w:ascii="Arial" w:eastAsiaTheme="minorEastAsia" w:hAnsi="Arial" w:cs="Arial"/>
        </w:rPr>
        <w:t>Order negative cash amount from the selected awarding agency</w:t>
      </w:r>
    </w:p>
    <w:p w14:paraId="70634732" w14:textId="77777777" w:rsidR="00EA6719" w:rsidRPr="0020782B" w:rsidRDefault="00977417" w:rsidP="00EA6719">
      <w:pPr>
        <w:numPr>
          <w:ilvl w:val="0"/>
          <w:numId w:val="12"/>
        </w:numPr>
        <w:spacing w:after="0" w:line="240" w:lineRule="auto"/>
        <w:contextualSpacing/>
        <w:rPr>
          <w:rFonts w:ascii="Arial" w:eastAsiaTheme="minorEastAsia" w:hAnsi="Arial" w:cs="Arial"/>
        </w:rPr>
      </w:pPr>
      <w:r w:rsidRPr="0020782B">
        <w:rPr>
          <w:rFonts w:ascii="Arial" w:eastAsiaTheme="minorEastAsia" w:hAnsi="Arial" w:cs="Arial"/>
        </w:rPr>
        <w:t xml:space="preserve">The </w:t>
      </w:r>
      <w:r w:rsidR="008B7226" w:rsidRPr="0020782B">
        <w:rPr>
          <w:rFonts w:ascii="Arial" w:eastAsiaTheme="minorEastAsia" w:hAnsi="Arial" w:cs="Arial"/>
        </w:rPr>
        <w:t>College</w:t>
      </w:r>
      <w:r w:rsidR="00EA6719" w:rsidRPr="0020782B">
        <w:rPr>
          <w:rFonts w:ascii="Arial" w:eastAsiaTheme="minorEastAsia" w:hAnsi="Arial" w:cs="Arial"/>
        </w:rPr>
        <w:t>’s Business Office staff (cashiers) will properly receipt reimbursement funds.</w:t>
      </w:r>
    </w:p>
    <w:p w14:paraId="2BAF2CE5" w14:textId="77777777" w:rsidR="00EA6719" w:rsidRPr="0020782B" w:rsidRDefault="00EA6719" w:rsidP="00EA6719">
      <w:pPr>
        <w:numPr>
          <w:ilvl w:val="0"/>
          <w:numId w:val="12"/>
        </w:numPr>
        <w:spacing w:after="0" w:line="240" w:lineRule="auto"/>
        <w:contextualSpacing/>
        <w:rPr>
          <w:rFonts w:ascii="Arial" w:eastAsiaTheme="minorEastAsia" w:hAnsi="Arial" w:cs="Arial"/>
        </w:rPr>
      </w:pPr>
      <w:r w:rsidRPr="0020782B">
        <w:rPr>
          <w:rFonts w:ascii="Arial" w:eastAsiaTheme="minorEastAsia" w:hAnsi="Arial" w:cs="Arial"/>
        </w:rPr>
        <w:t>The receipt will go to the Grant s Accounting Officer for review and filing.</w:t>
      </w:r>
    </w:p>
    <w:p w14:paraId="7A5A2993" w14:textId="77777777" w:rsidR="00EA6719" w:rsidRPr="0020782B" w:rsidRDefault="00EA6719" w:rsidP="00EA6719">
      <w:pPr>
        <w:spacing w:after="0" w:line="240" w:lineRule="auto"/>
        <w:rPr>
          <w:rFonts w:ascii="Arial" w:hAnsi="Arial" w:cs="Arial"/>
        </w:rPr>
      </w:pPr>
    </w:p>
    <w:p w14:paraId="61C02A70" w14:textId="119A3B34" w:rsidR="00EA6719" w:rsidRPr="0020782B" w:rsidRDefault="00EA6719" w:rsidP="00EA6719">
      <w:pPr>
        <w:spacing w:after="0" w:line="240" w:lineRule="auto"/>
        <w:rPr>
          <w:rFonts w:ascii="Arial" w:hAnsi="Arial" w:cs="Arial"/>
          <w:b/>
        </w:rPr>
      </w:pPr>
      <w:r w:rsidRPr="0020782B">
        <w:rPr>
          <w:rFonts w:ascii="Arial" w:hAnsi="Arial" w:cs="Arial"/>
          <w:b/>
        </w:rPr>
        <w:t>Effort Reporting</w:t>
      </w:r>
      <w:r w:rsidR="0020782B">
        <w:rPr>
          <w:rFonts w:ascii="Arial" w:hAnsi="Arial" w:cs="Arial"/>
          <w:b/>
        </w:rPr>
        <w:t>:</w:t>
      </w:r>
    </w:p>
    <w:p w14:paraId="2428E5BA" w14:textId="77777777" w:rsidR="00EA6719" w:rsidRPr="0020782B" w:rsidRDefault="00EA6719" w:rsidP="00EA6719">
      <w:pPr>
        <w:spacing w:after="0" w:line="240" w:lineRule="auto"/>
        <w:rPr>
          <w:rFonts w:ascii="Arial" w:hAnsi="Arial" w:cs="Arial"/>
          <w:color w:val="7030A0"/>
        </w:rPr>
      </w:pPr>
      <w:r w:rsidRPr="0020782B">
        <w:rPr>
          <w:rFonts w:ascii="Arial" w:hAnsi="Arial" w:cs="Arial"/>
        </w:rPr>
        <w:t xml:space="preserve">As a recipient of federal funding </w:t>
      </w:r>
      <w:r w:rsidR="008B7226" w:rsidRPr="0020782B">
        <w:rPr>
          <w:rFonts w:ascii="Arial" w:hAnsi="Arial" w:cs="Arial"/>
        </w:rPr>
        <w:t>Northwest Technical College</w:t>
      </w:r>
      <w:r w:rsidR="006B48CF" w:rsidRPr="0020782B">
        <w:rPr>
          <w:rFonts w:ascii="Arial" w:hAnsi="Arial" w:cs="Arial"/>
        </w:rPr>
        <w:t xml:space="preserve"> is</w:t>
      </w:r>
      <w:r w:rsidRPr="0020782B">
        <w:rPr>
          <w:rFonts w:ascii="Arial" w:hAnsi="Arial" w:cs="Arial"/>
        </w:rPr>
        <w:t xml:space="preserve"> required to comply with</w:t>
      </w:r>
      <w:r w:rsidRPr="0020782B">
        <w:rPr>
          <w:rFonts w:ascii="Arial" w:hAnsi="Arial" w:cs="Arial"/>
          <w:color w:val="1F1F1F"/>
          <w:shd w:val="clear" w:color="auto" w:fill="FFFFFF"/>
        </w:rPr>
        <w:t xml:space="preserve"> the Office of Management and Budget Circular Uniform Administrative Requirements, Cost Principles, and Audit Requirements for Federal Awards ("Uniform Guidance") and may include other federal requirements from the awarding agency for certifying effort expended on sponsored awards. The requirements for effort reporting (</w:t>
      </w:r>
      <w:r w:rsidRPr="0020782B">
        <w:rPr>
          <w:rFonts w:ascii="Arial" w:hAnsi="Arial" w:cs="Arial"/>
        </w:rPr>
        <w:t xml:space="preserve">2 CFR 200.430) are </w:t>
      </w:r>
      <w:r w:rsidRPr="0020782B">
        <w:rPr>
          <w:rFonts w:ascii="Arial" w:hAnsi="Arial" w:cs="Arial"/>
          <w:color w:val="1F1F1F"/>
          <w:shd w:val="clear" w:color="auto" w:fill="FFFFFF"/>
        </w:rPr>
        <w:t xml:space="preserve">located at: </w:t>
      </w:r>
      <w:hyperlink r:id="rId16" w:tgtFrame="_blank" w:history="1">
        <w:r w:rsidRPr="0020782B">
          <w:rPr>
            <w:rFonts w:ascii="Arial" w:hAnsi="Arial" w:cs="Arial"/>
            <w:color w:val="7030A0"/>
            <w:u w:val="single"/>
            <w:shd w:val="clear" w:color="auto" w:fill="FFFFFF"/>
          </w:rPr>
          <w:t>2 CFR 200, Uniform Guidance (Uniform Administrative Requirements, Cost Principles, and Audit Requirements for Federal Awards)</w:t>
        </w:r>
      </w:hyperlink>
    </w:p>
    <w:p w14:paraId="5001DEA5" w14:textId="77777777" w:rsidR="00EA6719" w:rsidRPr="0020782B" w:rsidRDefault="00EA6719" w:rsidP="00EA6719">
      <w:pPr>
        <w:spacing w:after="0" w:line="240" w:lineRule="auto"/>
        <w:rPr>
          <w:rFonts w:ascii="Arial" w:hAnsi="Arial" w:cs="Arial"/>
          <w:color w:val="1F1F1F"/>
          <w:shd w:val="clear" w:color="auto" w:fill="FFFFFF"/>
        </w:rPr>
      </w:pPr>
    </w:p>
    <w:p w14:paraId="72C7441E" w14:textId="77777777" w:rsidR="00EA6719" w:rsidRPr="0020782B" w:rsidRDefault="00977417" w:rsidP="00EA6719">
      <w:pPr>
        <w:numPr>
          <w:ilvl w:val="0"/>
          <w:numId w:val="13"/>
        </w:numPr>
        <w:spacing w:after="0" w:line="240" w:lineRule="auto"/>
        <w:contextualSpacing/>
        <w:rPr>
          <w:rFonts w:ascii="Arial" w:eastAsiaTheme="minorEastAsia" w:hAnsi="Arial" w:cs="Arial"/>
        </w:rPr>
      </w:pPr>
      <w:r w:rsidRPr="0020782B">
        <w:rPr>
          <w:rFonts w:ascii="Arial" w:eastAsiaTheme="minorEastAsia" w:hAnsi="Arial" w:cs="Arial"/>
        </w:rPr>
        <w:t xml:space="preserve">The </w:t>
      </w:r>
      <w:r w:rsidR="008B7226" w:rsidRPr="0020782B">
        <w:rPr>
          <w:rFonts w:ascii="Arial" w:eastAsiaTheme="minorEastAsia" w:hAnsi="Arial" w:cs="Arial"/>
        </w:rPr>
        <w:t>College</w:t>
      </w:r>
      <w:r w:rsidR="00EA6719" w:rsidRPr="0020782B">
        <w:rPr>
          <w:rFonts w:ascii="Arial" w:eastAsiaTheme="minorEastAsia" w:hAnsi="Arial" w:cs="Arial"/>
        </w:rPr>
        <w:t xml:space="preserve"> </w:t>
      </w:r>
      <w:r w:rsidR="00EA6719" w:rsidRPr="0020782B">
        <w:rPr>
          <w:rFonts w:ascii="Arial" w:eastAsiaTheme="minorEastAsia" w:hAnsi="Arial" w:cs="Arial"/>
          <w:color w:val="1F1F1F"/>
          <w:shd w:val="clear" w:color="auto" w:fill="FFFFFF"/>
        </w:rPr>
        <w:t xml:space="preserve">requires all individuals who receive federal sponsored funding to comply with </w:t>
      </w:r>
      <w:r w:rsidR="008B7226" w:rsidRPr="0020782B">
        <w:rPr>
          <w:rFonts w:ascii="Arial" w:eastAsiaTheme="minorEastAsia" w:hAnsi="Arial" w:cs="Arial"/>
          <w:color w:val="1F1F1F"/>
          <w:shd w:val="clear" w:color="auto" w:fill="FFFFFF"/>
        </w:rPr>
        <w:t>College</w:t>
      </w:r>
      <w:r w:rsidR="00EA6719" w:rsidRPr="0020782B">
        <w:rPr>
          <w:rFonts w:ascii="Arial" w:eastAsiaTheme="minorEastAsia" w:hAnsi="Arial" w:cs="Arial"/>
          <w:color w:val="1F1F1F"/>
          <w:shd w:val="clear" w:color="auto" w:fill="FFFFFF"/>
        </w:rPr>
        <w:t xml:space="preserve"> policies and sponsoring agency regulations regarding the proposing, charging, and reporting of effort on those awards. </w:t>
      </w:r>
    </w:p>
    <w:p w14:paraId="618D2D7B" w14:textId="77777777" w:rsidR="00EA6719" w:rsidRPr="0020782B" w:rsidRDefault="00977417" w:rsidP="00EA6719">
      <w:pPr>
        <w:numPr>
          <w:ilvl w:val="0"/>
          <w:numId w:val="13"/>
        </w:numPr>
        <w:spacing w:after="0" w:line="240" w:lineRule="auto"/>
        <w:contextualSpacing/>
        <w:rPr>
          <w:rFonts w:ascii="Arial" w:eastAsiaTheme="minorEastAsia" w:hAnsi="Arial" w:cs="Arial"/>
        </w:rPr>
      </w:pPr>
      <w:r w:rsidRPr="0020782B">
        <w:rPr>
          <w:rFonts w:ascii="Arial" w:eastAsiaTheme="minorEastAsia" w:hAnsi="Arial" w:cs="Arial"/>
          <w:color w:val="1F1F1F"/>
          <w:shd w:val="clear" w:color="auto" w:fill="FFFFFF"/>
        </w:rPr>
        <w:t xml:space="preserve">The </w:t>
      </w:r>
      <w:r w:rsidR="008B7226" w:rsidRPr="0020782B">
        <w:rPr>
          <w:rFonts w:ascii="Arial" w:eastAsiaTheme="minorEastAsia" w:hAnsi="Arial" w:cs="Arial"/>
          <w:color w:val="1F1F1F"/>
          <w:shd w:val="clear" w:color="auto" w:fill="FFFFFF"/>
        </w:rPr>
        <w:t>College</w:t>
      </w:r>
      <w:r w:rsidR="00EA6719" w:rsidRPr="0020782B">
        <w:rPr>
          <w:rFonts w:ascii="Arial" w:eastAsiaTheme="minorEastAsia" w:hAnsi="Arial" w:cs="Arial"/>
          <w:color w:val="1F1F1F"/>
          <w:shd w:val="clear" w:color="auto" w:fill="FFFFFF"/>
        </w:rPr>
        <w:t xml:space="preserve"> faculty and staff are expected to charge their time to sponsored awards commensurate with the committed effort expended on all activities they perform.  Payroll charges to sponsored awards and cost sharing recorded for faculty and staff, serve as the initial data points for the </w:t>
      </w:r>
      <w:r w:rsidR="008B7226" w:rsidRPr="0020782B">
        <w:rPr>
          <w:rFonts w:ascii="Arial" w:eastAsiaTheme="minorEastAsia" w:hAnsi="Arial" w:cs="Arial"/>
          <w:color w:val="1F1F1F"/>
          <w:shd w:val="clear" w:color="auto" w:fill="FFFFFF"/>
        </w:rPr>
        <w:t>College</w:t>
      </w:r>
      <w:r w:rsidR="00EA6719" w:rsidRPr="0020782B">
        <w:rPr>
          <w:rFonts w:ascii="Arial" w:eastAsiaTheme="minorEastAsia" w:hAnsi="Arial" w:cs="Arial"/>
          <w:color w:val="1F1F1F"/>
          <w:shd w:val="clear" w:color="auto" w:fill="FFFFFF"/>
        </w:rPr>
        <w:t>’s effort reporting system.</w:t>
      </w:r>
    </w:p>
    <w:p w14:paraId="0016A7D2" w14:textId="77777777" w:rsidR="00EA6719" w:rsidRPr="0020782B" w:rsidRDefault="00EA6719" w:rsidP="00EA6719">
      <w:pPr>
        <w:numPr>
          <w:ilvl w:val="0"/>
          <w:numId w:val="13"/>
        </w:numPr>
        <w:spacing w:after="0" w:line="240" w:lineRule="auto"/>
        <w:contextualSpacing/>
        <w:rPr>
          <w:rFonts w:ascii="Arial" w:eastAsiaTheme="minorEastAsia" w:hAnsi="Arial" w:cs="Arial"/>
        </w:rPr>
      </w:pPr>
      <w:r w:rsidRPr="0020782B">
        <w:rPr>
          <w:rFonts w:ascii="Arial" w:eastAsiaTheme="minorEastAsia" w:hAnsi="Arial" w:cs="Arial"/>
          <w:color w:val="1F1F1F"/>
          <w:shd w:val="clear" w:color="auto" w:fill="FFFFFF"/>
        </w:rPr>
        <w:t xml:space="preserve">The Uniform Guidance Subpart E §200.430 contains the federal regulatory requirements for internal controls over certifying time expended on sponsored projects. The </w:t>
      </w:r>
      <w:r w:rsidR="008B7226" w:rsidRPr="0020782B">
        <w:rPr>
          <w:rFonts w:ascii="Arial" w:eastAsiaTheme="minorEastAsia" w:hAnsi="Arial" w:cs="Arial"/>
          <w:color w:val="1F1F1F"/>
          <w:shd w:val="clear" w:color="auto" w:fill="FFFFFF"/>
        </w:rPr>
        <w:t>College</w:t>
      </w:r>
      <w:r w:rsidRPr="0020782B">
        <w:rPr>
          <w:rFonts w:ascii="Arial" w:eastAsiaTheme="minorEastAsia" w:hAnsi="Arial" w:cs="Arial"/>
          <w:color w:val="1F1F1F"/>
          <w:shd w:val="clear" w:color="auto" w:fill="FFFFFF"/>
        </w:rPr>
        <w:t xml:space="preserve">’s practice is to utilize an after-the-fact effort reporting system to certify that salaries charged, or cost shared to sponsored awards, are reasonable and consistent with the work performed. </w:t>
      </w:r>
    </w:p>
    <w:p w14:paraId="0030D87E" w14:textId="77777777" w:rsidR="00EA6719" w:rsidRPr="0020782B" w:rsidRDefault="00EA6719" w:rsidP="00EA6719">
      <w:pPr>
        <w:numPr>
          <w:ilvl w:val="0"/>
          <w:numId w:val="13"/>
        </w:numPr>
        <w:spacing w:after="0" w:line="240" w:lineRule="auto"/>
        <w:contextualSpacing/>
        <w:rPr>
          <w:rFonts w:ascii="Arial" w:eastAsiaTheme="minorEastAsia" w:hAnsi="Arial" w:cs="Arial"/>
        </w:rPr>
      </w:pPr>
      <w:r w:rsidRPr="0020782B">
        <w:rPr>
          <w:rFonts w:ascii="Arial" w:eastAsiaTheme="minorEastAsia" w:hAnsi="Arial" w:cs="Arial"/>
          <w:color w:val="1F1F1F"/>
          <w:shd w:val="clear" w:color="auto" w:fill="FFFFFF"/>
        </w:rPr>
        <w:lastRenderedPageBreak/>
        <w:t>The individual’s effort is first assigned to specific awards in the payroll system based on anticipated activities.  </w:t>
      </w:r>
    </w:p>
    <w:p w14:paraId="6CEE0BE6" w14:textId="77777777" w:rsidR="00EA6719" w:rsidRPr="0020782B" w:rsidRDefault="00EA6719" w:rsidP="00EA6719">
      <w:pPr>
        <w:numPr>
          <w:ilvl w:val="0"/>
          <w:numId w:val="13"/>
        </w:numPr>
        <w:spacing w:after="0" w:line="240" w:lineRule="auto"/>
        <w:contextualSpacing/>
        <w:rPr>
          <w:rFonts w:ascii="Arial" w:eastAsiaTheme="minorEastAsia" w:hAnsi="Arial" w:cs="Arial"/>
        </w:rPr>
      </w:pPr>
      <w:r w:rsidRPr="0020782B">
        <w:rPr>
          <w:rFonts w:ascii="Arial" w:eastAsiaTheme="minorEastAsia" w:hAnsi="Arial" w:cs="Arial"/>
          <w:color w:val="1F1F1F"/>
          <w:shd w:val="clear" w:color="auto" w:fill="FFFFFF"/>
        </w:rPr>
        <w:t>Actual effort expended on each project is certified by a responsible person with suitable means of verification that the work was performed, generally the principal investigator, at the end of specified reporting periods. The effort certification should be a reasonable estimate of how time was expended.  Uniform Guidance Section §200.430(c) states, “It is recognized that teaching, research, service, and administration are often inextricably intermingled in an academic setting.  When recording salaries and wages charged to Federal awards for IHEs [Institutes of Higher Education], a precise assessment of factors that contribute to costs is therefore not always feasible, nor is it expected."</w:t>
      </w:r>
    </w:p>
    <w:p w14:paraId="034B71E9" w14:textId="77777777" w:rsidR="00EA6719" w:rsidRPr="0020782B" w:rsidRDefault="00EA6719" w:rsidP="00EA6719">
      <w:pPr>
        <w:numPr>
          <w:ilvl w:val="0"/>
          <w:numId w:val="13"/>
        </w:numPr>
        <w:spacing w:after="0" w:line="240" w:lineRule="auto"/>
        <w:contextualSpacing/>
        <w:rPr>
          <w:rFonts w:ascii="Arial" w:eastAsiaTheme="minorEastAsia" w:hAnsi="Arial" w:cs="Arial"/>
        </w:rPr>
      </w:pPr>
      <w:r w:rsidRPr="0020782B">
        <w:rPr>
          <w:rFonts w:ascii="Arial" w:eastAsiaTheme="minorEastAsia" w:hAnsi="Arial" w:cs="Arial"/>
          <w:color w:val="1F1F1F"/>
          <w:shd w:val="clear" w:color="auto" w:fill="FFFFFF"/>
        </w:rPr>
        <w:t xml:space="preserve">All employees that work on and charge payroll cost to a Federal grant must complete one of the forms listed below: </w:t>
      </w:r>
    </w:p>
    <w:p w14:paraId="005D9FBC" w14:textId="77777777" w:rsidR="00EA6719" w:rsidRPr="0020782B" w:rsidRDefault="00144B1C" w:rsidP="00EA6719">
      <w:pPr>
        <w:numPr>
          <w:ilvl w:val="1"/>
          <w:numId w:val="13"/>
        </w:numPr>
        <w:spacing w:after="0" w:line="240" w:lineRule="auto"/>
        <w:contextualSpacing/>
        <w:rPr>
          <w:rFonts w:ascii="Arial" w:eastAsiaTheme="minorEastAsia" w:hAnsi="Arial" w:cs="Arial"/>
        </w:rPr>
      </w:pPr>
      <w:r w:rsidRPr="0020782B">
        <w:rPr>
          <w:rFonts w:ascii="Arial" w:eastAsiaTheme="minorEastAsia" w:hAnsi="Arial" w:cs="Arial"/>
          <w:color w:val="1F1F1F"/>
          <w:shd w:val="clear" w:color="auto" w:fill="FFFFFF"/>
        </w:rPr>
        <w:t xml:space="preserve">Quarterly </w:t>
      </w:r>
      <w:r w:rsidR="00EA6719" w:rsidRPr="0020782B">
        <w:rPr>
          <w:rFonts w:ascii="Arial" w:eastAsiaTheme="minorEastAsia" w:hAnsi="Arial" w:cs="Arial"/>
          <w:color w:val="1F1F1F"/>
          <w:shd w:val="clear" w:color="auto" w:fill="FFFFFF"/>
        </w:rPr>
        <w:t>Time &amp; Effort After-the-Fact Activity Reporting Certification</w:t>
      </w:r>
    </w:p>
    <w:p w14:paraId="22C5A998" w14:textId="77777777" w:rsidR="00EA6719" w:rsidRPr="0020782B" w:rsidRDefault="00EA6719" w:rsidP="00EA6719">
      <w:pPr>
        <w:numPr>
          <w:ilvl w:val="1"/>
          <w:numId w:val="13"/>
        </w:numPr>
        <w:spacing w:after="0" w:line="240" w:lineRule="auto"/>
        <w:contextualSpacing/>
        <w:rPr>
          <w:rFonts w:ascii="Arial" w:eastAsiaTheme="minorEastAsia" w:hAnsi="Arial" w:cs="Arial"/>
        </w:rPr>
      </w:pPr>
      <w:r w:rsidRPr="0020782B">
        <w:rPr>
          <w:rFonts w:ascii="Arial" w:eastAsiaTheme="minorEastAsia" w:hAnsi="Arial" w:cs="Arial"/>
          <w:color w:val="1F1F1F"/>
          <w:shd w:val="clear" w:color="auto" w:fill="FFFFFF"/>
        </w:rPr>
        <w:t>Timesheet</w:t>
      </w:r>
    </w:p>
    <w:p w14:paraId="140802D5" w14:textId="77777777" w:rsidR="00144B1C" w:rsidRPr="0020782B" w:rsidRDefault="00144B1C" w:rsidP="00EA6719">
      <w:pPr>
        <w:numPr>
          <w:ilvl w:val="1"/>
          <w:numId w:val="13"/>
        </w:numPr>
        <w:spacing w:after="0" w:line="240" w:lineRule="auto"/>
        <w:contextualSpacing/>
        <w:rPr>
          <w:rFonts w:ascii="Arial" w:eastAsiaTheme="minorEastAsia" w:hAnsi="Arial" w:cs="Arial"/>
        </w:rPr>
      </w:pPr>
      <w:r w:rsidRPr="0020782B">
        <w:rPr>
          <w:rFonts w:ascii="Arial" w:eastAsiaTheme="minorEastAsia" w:hAnsi="Arial" w:cs="Arial"/>
          <w:color w:val="1F1F1F"/>
          <w:shd w:val="clear" w:color="auto" w:fill="FFFFFF"/>
        </w:rPr>
        <w:t>“Extra Duty Days” Time &amp; Effort After-the-Fact Activity Reporting Certification</w:t>
      </w:r>
    </w:p>
    <w:p w14:paraId="12616E10" w14:textId="77777777" w:rsidR="00EA6719" w:rsidRPr="0020782B" w:rsidRDefault="00EA6719" w:rsidP="00EA6719">
      <w:pPr>
        <w:numPr>
          <w:ilvl w:val="0"/>
          <w:numId w:val="13"/>
        </w:numPr>
        <w:spacing w:after="0" w:line="240" w:lineRule="auto"/>
        <w:contextualSpacing/>
        <w:rPr>
          <w:rFonts w:ascii="Arial" w:eastAsiaTheme="minorEastAsia" w:hAnsi="Arial" w:cs="Arial"/>
        </w:rPr>
      </w:pPr>
      <w:r w:rsidRPr="0020782B">
        <w:rPr>
          <w:rFonts w:ascii="Arial" w:eastAsiaTheme="minorEastAsia" w:hAnsi="Arial" w:cs="Arial"/>
          <w:color w:val="1F1F1F"/>
          <w:shd w:val="clear" w:color="auto" w:fill="FFFFFF"/>
        </w:rPr>
        <w:t xml:space="preserve">All the activity for the period must be reported on one of the forms listed above. The document is signed by the employee and by the PI or a responsible official with first-hand knowledge of the work performed. </w:t>
      </w:r>
    </w:p>
    <w:p w14:paraId="3EC816A2" w14:textId="77777777" w:rsidR="00EA6719" w:rsidRPr="0020782B" w:rsidRDefault="00EA6719" w:rsidP="00EA6719">
      <w:pPr>
        <w:numPr>
          <w:ilvl w:val="0"/>
          <w:numId w:val="13"/>
        </w:numPr>
        <w:spacing w:after="0" w:line="240" w:lineRule="auto"/>
        <w:contextualSpacing/>
        <w:rPr>
          <w:rFonts w:ascii="Arial" w:eastAsiaTheme="minorEastAsia" w:hAnsi="Arial" w:cs="Arial"/>
        </w:rPr>
      </w:pPr>
      <w:r w:rsidRPr="0020782B">
        <w:rPr>
          <w:rFonts w:ascii="Arial" w:eastAsiaTheme="minorEastAsia" w:hAnsi="Arial" w:cs="Arial"/>
          <w:color w:val="1F1F1F"/>
          <w:shd w:val="clear" w:color="auto" w:fill="FFFFFF"/>
        </w:rPr>
        <w:t xml:space="preserve">The document is forwarded to the Grant Accounting Officer and used as a basis to periodically adjust the salary cost if there is a significant variation from the original salary assignment. </w:t>
      </w:r>
    </w:p>
    <w:p w14:paraId="1D190EE2" w14:textId="77777777" w:rsidR="00EA6719" w:rsidRPr="0020782B" w:rsidRDefault="00EA6719" w:rsidP="00EA6719">
      <w:pPr>
        <w:numPr>
          <w:ilvl w:val="0"/>
          <w:numId w:val="13"/>
        </w:numPr>
        <w:spacing w:after="0" w:line="240" w:lineRule="auto"/>
        <w:contextualSpacing/>
        <w:rPr>
          <w:rFonts w:ascii="Arial" w:eastAsiaTheme="minorEastAsia" w:hAnsi="Arial" w:cs="Arial"/>
        </w:rPr>
      </w:pPr>
      <w:r w:rsidRPr="0020782B">
        <w:rPr>
          <w:rFonts w:ascii="Arial" w:eastAsiaTheme="minorEastAsia" w:hAnsi="Arial" w:cs="Arial"/>
          <w:color w:val="1F1F1F"/>
          <w:shd w:val="clear" w:color="auto" w:fill="FFFFFF"/>
        </w:rPr>
        <w:t>The effort reporting document is filed in the grant file and kept in the Grants Accounting Office.</w:t>
      </w:r>
    </w:p>
    <w:p w14:paraId="655CB942" w14:textId="77777777" w:rsidR="002A6D85" w:rsidRPr="0020782B" w:rsidRDefault="002A6D85" w:rsidP="002A6D85">
      <w:pPr>
        <w:pStyle w:val="Default"/>
        <w:rPr>
          <w:rFonts w:ascii="Arial" w:hAnsi="Arial" w:cs="Arial"/>
          <w:sz w:val="22"/>
          <w:szCs w:val="22"/>
        </w:rPr>
      </w:pPr>
    </w:p>
    <w:p w14:paraId="313C0BEB" w14:textId="6F6298B6" w:rsidR="008E1833" w:rsidRPr="0020782B" w:rsidRDefault="00833B64" w:rsidP="000D609B">
      <w:pPr>
        <w:pStyle w:val="Default"/>
        <w:rPr>
          <w:rFonts w:ascii="Arial" w:hAnsi="Arial" w:cs="Arial"/>
          <w:b/>
          <w:bCs/>
          <w:sz w:val="22"/>
          <w:szCs w:val="22"/>
          <w:u w:val="single"/>
        </w:rPr>
      </w:pPr>
      <w:r w:rsidRPr="0020782B">
        <w:rPr>
          <w:rFonts w:ascii="Arial" w:hAnsi="Arial" w:cs="Arial"/>
          <w:b/>
          <w:bCs/>
          <w:sz w:val="22"/>
          <w:szCs w:val="22"/>
          <w:u w:val="single"/>
        </w:rPr>
        <w:t>Rationale</w:t>
      </w:r>
    </w:p>
    <w:p w14:paraId="67A20245" w14:textId="77777777" w:rsidR="000D609B" w:rsidRPr="0020782B" w:rsidRDefault="00CF4352" w:rsidP="000D609B">
      <w:pPr>
        <w:pStyle w:val="Default"/>
        <w:rPr>
          <w:rFonts w:ascii="Arial" w:hAnsi="Arial" w:cs="Arial"/>
          <w:b/>
          <w:bCs/>
          <w:sz w:val="22"/>
          <w:szCs w:val="22"/>
        </w:rPr>
      </w:pPr>
      <w:r w:rsidRPr="0020782B">
        <w:rPr>
          <w:rFonts w:ascii="Arial" w:hAnsi="Arial" w:cs="Arial"/>
          <w:bCs/>
          <w:sz w:val="22"/>
          <w:szCs w:val="22"/>
        </w:rPr>
        <w:t xml:space="preserve">Policies and procedures will be in place </w:t>
      </w:r>
      <w:r w:rsidR="00977417" w:rsidRPr="0020782B">
        <w:rPr>
          <w:rFonts w:ascii="Arial" w:hAnsi="Arial" w:cs="Arial"/>
          <w:bCs/>
          <w:sz w:val="22"/>
          <w:szCs w:val="22"/>
        </w:rPr>
        <w:t xml:space="preserve">to comply with the </w:t>
      </w:r>
      <w:r w:rsidR="006C265A" w:rsidRPr="0020782B">
        <w:rPr>
          <w:rFonts w:ascii="Arial" w:hAnsi="Arial" w:cs="Arial"/>
          <w:bCs/>
          <w:sz w:val="22"/>
          <w:szCs w:val="22"/>
        </w:rPr>
        <w:t xml:space="preserve">accountability </w:t>
      </w:r>
      <w:r w:rsidR="00977417" w:rsidRPr="0020782B">
        <w:rPr>
          <w:rFonts w:ascii="Arial" w:hAnsi="Arial" w:cs="Arial"/>
          <w:bCs/>
          <w:sz w:val="22"/>
          <w:szCs w:val="22"/>
        </w:rPr>
        <w:t xml:space="preserve">guidelines </w:t>
      </w:r>
      <w:r w:rsidR="006C265A" w:rsidRPr="0020782B">
        <w:rPr>
          <w:rFonts w:ascii="Arial" w:hAnsi="Arial" w:cs="Arial"/>
          <w:bCs/>
          <w:sz w:val="22"/>
          <w:szCs w:val="22"/>
        </w:rPr>
        <w:t>set forth in the “</w:t>
      </w:r>
      <w:r w:rsidR="004D6C81" w:rsidRPr="0020782B">
        <w:rPr>
          <w:rFonts w:ascii="Arial" w:hAnsi="Arial" w:cs="Arial"/>
          <w:bCs/>
          <w:sz w:val="22"/>
          <w:szCs w:val="22"/>
        </w:rPr>
        <w:t>OMB Uniform Guidance (</w:t>
      </w:r>
      <w:r w:rsidR="006C265A" w:rsidRPr="0020782B">
        <w:rPr>
          <w:rFonts w:ascii="Arial" w:hAnsi="Arial" w:cs="Arial"/>
          <w:bCs/>
          <w:sz w:val="22"/>
          <w:szCs w:val="22"/>
        </w:rPr>
        <w:t>Super Circular</w:t>
      </w:r>
      <w:r w:rsidR="004D6C81" w:rsidRPr="0020782B">
        <w:rPr>
          <w:rFonts w:ascii="Arial" w:hAnsi="Arial" w:cs="Arial"/>
          <w:bCs/>
          <w:sz w:val="22"/>
          <w:szCs w:val="22"/>
        </w:rPr>
        <w:t>)</w:t>
      </w:r>
      <w:r w:rsidR="006C265A" w:rsidRPr="0020782B">
        <w:rPr>
          <w:rFonts w:ascii="Arial" w:hAnsi="Arial" w:cs="Arial"/>
          <w:bCs/>
          <w:sz w:val="22"/>
          <w:szCs w:val="22"/>
        </w:rPr>
        <w:t>”</w:t>
      </w:r>
      <w:r w:rsidR="00E82312" w:rsidRPr="0020782B">
        <w:rPr>
          <w:rFonts w:ascii="Arial" w:hAnsi="Arial" w:cs="Arial"/>
          <w:bCs/>
          <w:color w:val="FF0000"/>
          <w:sz w:val="22"/>
          <w:szCs w:val="22"/>
        </w:rPr>
        <w:t xml:space="preserve"> </w:t>
      </w:r>
      <w:r w:rsidR="00E82312" w:rsidRPr="0020782B">
        <w:rPr>
          <w:rFonts w:ascii="Arial" w:hAnsi="Arial" w:cs="Arial"/>
          <w:bCs/>
          <w:color w:val="auto"/>
          <w:sz w:val="22"/>
          <w:szCs w:val="22"/>
        </w:rPr>
        <w:t>and any additional guidelines from the granting agency.</w:t>
      </w:r>
      <w:r w:rsidR="006C265A" w:rsidRPr="0020782B">
        <w:rPr>
          <w:rFonts w:ascii="Arial" w:hAnsi="Arial" w:cs="Arial"/>
          <w:bCs/>
          <w:color w:val="auto"/>
          <w:sz w:val="22"/>
          <w:szCs w:val="22"/>
        </w:rPr>
        <w:t xml:space="preserve"> </w:t>
      </w:r>
      <w:r w:rsidR="00717B15" w:rsidRPr="0020782B">
        <w:rPr>
          <w:rFonts w:ascii="Arial" w:hAnsi="Arial" w:cs="Arial"/>
          <w:bCs/>
          <w:sz w:val="22"/>
          <w:szCs w:val="22"/>
        </w:rPr>
        <w:t>A</w:t>
      </w:r>
      <w:r w:rsidRPr="0020782B">
        <w:rPr>
          <w:rFonts w:ascii="Arial" w:hAnsi="Arial" w:cs="Arial"/>
          <w:bCs/>
          <w:sz w:val="22"/>
          <w:szCs w:val="22"/>
        </w:rPr>
        <w:t>ny individual workin</w:t>
      </w:r>
      <w:r w:rsidR="006C265A" w:rsidRPr="0020782B">
        <w:rPr>
          <w:rFonts w:ascii="Arial" w:hAnsi="Arial" w:cs="Arial"/>
          <w:bCs/>
          <w:sz w:val="22"/>
          <w:szCs w:val="22"/>
        </w:rPr>
        <w:t xml:space="preserve">g with and/or charging time to a </w:t>
      </w:r>
      <w:r w:rsidRPr="0020782B">
        <w:rPr>
          <w:rFonts w:ascii="Arial" w:hAnsi="Arial" w:cs="Arial"/>
          <w:bCs/>
          <w:sz w:val="22"/>
          <w:szCs w:val="22"/>
        </w:rPr>
        <w:t xml:space="preserve">grant will have guidelines in place to ensure that the costs incurred are </w:t>
      </w:r>
      <w:r w:rsidRPr="0020782B">
        <w:rPr>
          <w:rFonts w:ascii="Arial" w:eastAsiaTheme="minorEastAsia" w:hAnsi="Arial" w:cs="Arial"/>
          <w:sz w:val="22"/>
          <w:szCs w:val="22"/>
        </w:rPr>
        <w:t>necessary, reasonable, allocable, and allowable according to Federal guidelines.</w:t>
      </w:r>
      <w:r w:rsidRPr="0020782B">
        <w:rPr>
          <w:rFonts w:ascii="Arial" w:hAnsi="Arial" w:cs="Arial"/>
          <w:bCs/>
          <w:sz w:val="22"/>
          <w:szCs w:val="22"/>
        </w:rPr>
        <w:t xml:space="preserve"> </w:t>
      </w:r>
    </w:p>
    <w:p w14:paraId="065ED423" w14:textId="77777777" w:rsidR="00A55C9D" w:rsidRPr="0020782B" w:rsidRDefault="00A55C9D" w:rsidP="000D609B">
      <w:pPr>
        <w:pStyle w:val="Default"/>
        <w:rPr>
          <w:rFonts w:ascii="Arial" w:hAnsi="Arial" w:cs="Arial"/>
          <w:b/>
          <w:bCs/>
          <w:sz w:val="22"/>
          <w:szCs w:val="22"/>
          <w:u w:val="single"/>
        </w:rPr>
      </w:pPr>
    </w:p>
    <w:p w14:paraId="7EFCEBFF" w14:textId="447FDF5A" w:rsidR="00815A92" w:rsidRPr="0020782B" w:rsidRDefault="00815A92" w:rsidP="000D609B">
      <w:pPr>
        <w:pStyle w:val="Default"/>
        <w:rPr>
          <w:rFonts w:ascii="Arial" w:hAnsi="Arial" w:cs="Arial"/>
          <w:b/>
          <w:bCs/>
          <w:sz w:val="22"/>
          <w:szCs w:val="22"/>
        </w:rPr>
      </w:pPr>
      <w:r w:rsidRPr="0020782B">
        <w:rPr>
          <w:rFonts w:ascii="Arial" w:hAnsi="Arial" w:cs="Arial"/>
          <w:b/>
          <w:bCs/>
          <w:sz w:val="22"/>
          <w:szCs w:val="22"/>
          <w:u w:val="single"/>
        </w:rPr>
        <w:t>Supporting References</w:t>
      </w:r>
    </w:p>
    <w:p w14:paraId="47F69910" w14:textId="77777777" w:rsidR="00D05DE0" w:rsidRPr="0020782B" w:rsidRDefault="008E1833" w:rsidP="00E55689">
      <w:pPr>
        <w:pStyle w:val="ListParagraph"/>
        <w:numPr>
          <w:ilvl w:val="0"/>
          <w:numId w:val="15"/>
        </w:numPr>
        <w:rPr>
          <w:rFonts w:ascii="Arial" w:eastAsia="Times New Roman" w:hAnsi="Arial" w:cs="Arial"/>
          <w:i/>
          <w:color w:val="FF0000"/>
        </w:rPr>
      </w:pPr>
      <w:r w:rsidRPr="0020782B">
        <w:rPr>
          <w:rFonts w:ascii="Arial" w:eastAsia="Times New Roman" w:hAnsi="Arial" w:cs="Arial"/>
        </w:rPr>
        <w:t xml:space="preserve">OMB Circular A-21 Cost Principles for Educational Institutions – </w:t>
      </w:r>
      <w:r w:rsidRPr="0020782B">
        <w:rPr>
          <w:rFonts w:ascii="Arial" w:eastAsia="Times New Roman" w:hAnsi="Arial" w:cs="Arial"/>
          <w:i/>
          <w:color w:val="FF0000"/>
        </w:rPr>
        <w:t xml:space="preserve">superseded by </w:t>
      </w:r>
      <w:r w:rsidR="00D05DE0" w:rsidRPr="0020782B">
        <w:rPr>
          <w:rFonts w:ascii="Arial" w:eastAsia="Times New Roman" w:hAnsi="Arial" w:cs="Arial"/>
          <w:i/>
          <w:color w:val="FF0000"/>
        </w:rPr>
        <w:t xml:space="preserve">OMB Uniform Guidance (Super Circular) </w:t>
      </w:r>
    </w:p>
    <w:p w14:paraId="5A5AC55D" w14:textId="77777777" w:rsidR="008E1833" w:rsidRPr="0020782B" w:rsidRDefault="008E1833" w:rsidP="00E55689">
      <w:pPr>
        <w:pStyle w:val="ListParagraph"/>
        <w:numPr>
          <w:ilvl w:val="0"/>
          <w:numId w:val="15"/>
        </w:numPr>
        <w:rPr>
          <w:rFonts w:ascii="Arial" w:eastAsia="Times New Roman" w:hAnsi="Arial" w:cs="Arial"/>
          <w:i/>
          <w:color w:val="FF0000"/>
        </w:rPr>
      </w:pPr>
      <w:r w:rsidRPr="0020782B">
        <w:rPr>
          <w:rFonts w:ascii="Arial" w:eastAsia="Times New Roman" w:hAnsi="Arial" w:cs="Arial"/>
        </w:rPr>
        <w:t xml:space="preserve">OMB Circular A-110 </w:t>
      </w:r>
      <w:r w:rsidRPr="0020782B">
        <w:rPr>
          <w:rFonts w:ascii="Arial" w:eastAsia="Times New Roman" w:hAnsi="Arial" w:cs="Arial"/>
          <w:i/>
        </w:rPr>
        <w:t xml:space="preserve">Uniform Administrative Requirements for Grants and Agreements with Institutions of Higher Education, Hospitals, and Other Non-Profit Organizations – </w:t>
      </w:r>
      <w:r w:rsidRPr="0020782B">
        <w:rPr>
          <w:rFonts w:ascii="Arial" w:eastAsia="Times New Roman" w:hAnsi="Arial" w:cs="Arial"/>
          <w:i/>
          <w:color w:val="FF0000"/>
        </w:rPr>
        <w:t xml:space="preserve">superseded by </w:t>
      </w:r>
      <w:r w:rsidR="00D05DE0" w:rsidRPr="0020782B">
        <w:rPr>
          <w:rFonts w:ascii="Arial" w:eastAsia="Times New Roman" w:hAnsi="Arial" w:cs="Arial"/>
          <w:i/>
          <w:color w:val="FF0000"/>
        </w:rPr>
        <w:t>OMB Uniform Guidance (Super Circular)</w:t>
      </w:r>
    </w:p>
    <w:p w14:paraId="675276B8" w14:textId="77777777" w:rsidR="008E1833" w:rsidRPr="0020782B" w:rsidRDefault="008E1833" w:rsidP="00B41110">
      <w:pPr>
        <w:pStyle w:val="ListParagraph"/>
        <w:numPr>
          <w:ilvl w:val="0"/>
          <w:numId w:val="15"/>
        </w:numPr>
        <w:rPr>
          <w:rFonts w:ascii="Arial" w:eastAsia="Times New Roman" w:hAnsi="Arial" w:cs="Arial"/>
          <w:i/>
          <w:color w:val="FF0000"/>
        </w:rPr>
      </w:pPr>
      <w:r w:rsidRPr="0020782B">
        <w:rPr>
          <w:rFonts w:ascii="Arial" w:eastAsia="Times New Roman" w:hAnsi="Arial" w:cs="Arial"/>
        </w:rPr>
        <w:t xml:space="preserve">OMB Circular A-133 </w:t>
      </w:r>
      <w:r w:rsidRPr="0020782B">
        <w:rPr>
          <w:rFonts w:ascii="Arial" w:eastAsia="Times New Roman" w:hAnsi="Arial" w:cs="Arial"/>
          <w:i/>
        </w:rPr>
        <w:t>Audits of State, Local Governments, and Non-Profit Organizations-</w:t>
      </w:r>
      <w:r w:rsidRPr="0020782B">
        <w:rPr>
          <w:rFonts w:ascii="Arial" w:eastAsia="Times New Roman" w:hAnsi="Arial" w:cs="Arial"/>
          <w:i/>
          <w:color w:val="FF0000"/>
        </w:rPr>
        <w:t xml:space="preserve">superseded by </w:t>
      </w:r>
      <w:r w:rsidR="00D05DE0" w:rsidRPr="0020782B">
        <w:rPr>
          <w:rFonts w:ascii="Arial" w:eastAsia="Times New Roman" w:hAnsi="Arial" w:cs="Arial"/>
          <w:i/>
          <w:color w:val="FF0000"/>
        </w:rPr>
        <w:t>OMB Uniform Guidance (Super Circular)</w:t>
      </w:r>
    </w:p>
    <w:p w14:paraId="4EB3F10B" w14:textId="3D3CBE13" w:rsidR="00C311C0" w:rsidRPr="0020782B" w:rsidRDefault="00B41110" w:rsidP="000D609B">
      <w:pPr>
        <w:pStyle w:val="ListParagraph"/>
        <w:numPr>
          <w:ilvl w:val="0"/>
          <w:numId w:val="15"/>
        </w:numPr>
        <w:rPr>
          <w:rFonts w:ascii="Arial" w:eastAsia="Times New Roman" w:hAnsi="Arial" w:cs="Arial"/>
          <w:i/>
        </w:rPr>
      </w:pPr>
      <w:r w:rsidRPr="0020782B">
        <w:rPr>
          <w:rFonts w:ascii="Arial" w:hAnsi="Arial" w:cs="Arial"/>
          <w:color w:val="1F1F1F"/>
          <w:shd w:val="clear" w:color="auto" w:fill="FFFFFF"/>
        </w:rPr>
        <w:t>Office of Management and Budget Circular Uniform Administrative Requirements, Cost Principles, and Audit Requirements for Federal Awards ("Uniform Guidance")</w:t>
      </w:r>
    </w:p>
    <w:sectPr w:rsidR="00C311C0" w:rsidRPr="0020782B" w:rsidSect="006D7E75">
      <w:headerReference w:type="default" r:id="rId17"/>
      <w:footerReference w:type="default" r:id="rId18"/>
      <w:pgSz w:w="12240" w:h="15840"/>
      <w:pgMar w:top="1440" w:right="1440" w:bottom="1440" w:left="144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B9170A" w14:textId="77777777" w:rsidR="00C324CA" w:rsidRDefault="00C324CA" w:rsidP="00B0215A">
      <w:pPr>
        <w:spacing w:after="0" w:line="240" w:lineRule="auto"/>
      </w:pPr>
      <w:r>
        <w:separator/>
      </w:r>
    </w:p>
  </w:endnote>
  <w:endnote w:type="continuationSeparator" w:id="0">
    <w:p w14:paraId="6BC843EA" w14:textId="77777777" w:rsidR="00C324CA" w:rsidRDefault="00C324CA" w:rsidP="00B02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3"/>
      <w:gridCol w:w="1050"/>
      <w:gridCol w:w="1165"/>
      <w:gridCol w:w="368"/>
      <w:gridCol w:w="1530"/>
      <w:gridCol w:w="2701"/>
      <w:gridCol w:w="512"/>
    </w:tblGrid>
    <w:tr w:rsidR="006D7E75" w14:paraId="31B8DC2E" w14:textId="77777777" w:rsidTr="00896D19">
      <w:trPr>
        <w:trHeight w:val="65"/>
      </w:trPr>
      <w:tc>
        <w:tcPr>
          <w:tcW w:w="6816" w:type="dxa"/>
          <w:gridSpan w:val="5"/>
        </w:tcPr>
        <w:p w14:paraId="37E29E50" w14:textId="77777777" w:rsidR="006D7E75" w:rsidRDefault="006D7E75" w:rsidP="006D7E75">
          <w:pPr>
            <w:pStyle w:val="TableParagraph"/>
            <w:spacing w:before="2" w:line="204" w:lineRule="exact"/>
            <w:ind w:left="107" w:right="60"/>
            <w:rPr>
              <w:sz w:val="18"/>
            </w:rPr>
          </w:pPr>
          <w:r>
            <w:rPr>
              <w:sz w:val="18"/>
              <w:u w:val="single"/>
            </w:rPr>
            <w:t>The most current documentation is electronic; therefore, please discard printed</w:t>
          </w:r>
          <w:r>
            <w:rPr>
              <w:sz w:val="18"/>
            </w:rPr>
            <w:t xml:space="preserve"> copy after 24 hours. This does not apply to completed forms which are records.</w:t>
          </w:r>
        </w:p>
      </w:tc>
      <w:tc>
        <w:tcPr>
          <w:tcW w:w="3213" w:type="dxa"/>
          <w:gridSpan w:val="2"/>
        </w:tcPr>
        <w:p w14:paraId="0BE02A06" w14:textId="77777777" w:rsidR="006D7E75" w:rsidRDefault="006D7E75" w:rsidP="006D7E75">
          <w:pPr>
            <w:pStyle w:val="TableParagraph"/>
            <w:spacing w:line="203" w:lineRule="exact"/>
            <w:ind w:left="104"/>
            <w:rPr>
              <w:sz w:val="18"/>
            </w:rPr>
          </w:pPr>
          <w:r>
            <w:rPr>
              <w:sz w:val="18"/>
            </w:rPr>
            <w:t xml:space="preserve">Print Date: </w:t>
          </w:r>
        </w:p>
      </w:tc>
    </w:tr>
    <w:tr w:rsidR="006D7E75" w14:paraId="15CA83E2" w14:textId="77777777" w:rsidTr="00896D19">
      <w:trPr>
        <w:trHeight w:val="285"/>
      </w:trPr>
      <w:tc>
        <w:tcPr>
          <w:tcW w:w="2703" w:type="dxa"/>
          <w:tcBorders>
            <w:top w:val="thinThickMediumGap" w:sz="3" w:space="0" w:color="000000"/>
          </w:tcBorders>
          <w:vAlign w:val="center"/>
        </w:tcPr>
        <w:p w14:paraId="1BE3ACCD" w14:textId="77777777" w:rsidR="006D7E75" w:rsidRDefault="006D7E75" w:rsidP="006D7E75">
          <w:pPr>
            <w:pStyle w:val="TableParagraph"/>
            <w:ind w:left="107"/>
            <w:rPr>
              <w:sz w:val="18"/>
            </w:rPr>
          </w:pPr>
          <w:r>
            <w:rPr>
              <w:sz w:val="18"/>
            </w:rPr>
            <w:t>Document Number: 7###-#-##</w:t>
          </w:r>
        </w:p>
      </w:tc>
      <w:tc>
        <w:tcPr>
          <w:tcW w:w="2215" w:type="dxa"/>
          <w:gridSpan w:val="2"/>
          <w:tcBorders>
            <w:top w:val="thinThickMediumGap" w:sz="3" w:space="0" w:color="000000"/>
          </w:tcBorders>
          <w:vAlign w:val="center"/>
        </w:tcPr>
        <w:p w14:paraId="0868F105" w14:textId="77777777" w:rsidR="006D7E75" w:rsidRDefault="006D7E75" w:rsidP="006D7E75">
          <w:pPr>
            <w:pStyle w:val="TableParagraph"/>
            <w:ind w:left="107"/>
            <w:rPr>
              <w:sz w:val="18"/>
            </w:rPr>
          </w:pPr>
          <w:r>
            <w:rPr>
              <w:sz w:val="18"/>
            </w:rPr>
            <w:t xml:space="preserve">Rev. </w:t>
          </w:r>
        </w:p>
      </w:tc>
      <w:tc>
        <w:tcPr>
          <w:tcW w:w="1898" w:type="dxa"/>
          <w:gridSpan w:val="2"/>
          <w:vAlign w:val="center"/>
        </w:tcPr>
        <w:p w14:paraId="3CF2F74D" w14:textId="7C4EB55B" w:rsidR="006D7E75" w:rsidRDefault="006D7E75" w:rsidP="006D7E75">
          <w:pPr>
            <w:pStyle w:val="TableParagraph"/>
            <w:ind w:left="105"/>
            <w:rPr>
              <w:sz w:val="18"/>
            </w:rPr>
          </w:pPr>
          <w:r>
            <w:rPr>
              <w:sz w:val="18"/>
            </w:rPr>
            <w:t xml:space="preserve">Page </w:t>
          </w:r>
          <w:r>
            <w:fldChar w:fldCharType="begin"/>
          </w:r>
          <w:r>
            <w:rPr>
              <w:sz w:val="18"/>
            </w:rPr>
            <w:instrText xml:space="preserve"> PAGE </w:instrText>
          </w:r>
          <w:r>
            <w:fldChar w:fldCharType="separate"/>
          </w:r>
          <w:r>
            <w:t>1</w:t>
          </w:r>
          <w:r>
            <w:fldChar w:fldCharType="end"/>
          </w:r>
          <w:r>
            <w:rPr>
              <w:sz w:val="18"/>
            </w:rPr>
            <w:t xml:space="preserve"> of </w:t>
          </w:r>
          <w:r>
            <w:rPr>
              <w:sz w:val="18"/>
            </w:rPr>
            <w:t>5</w:t>
          </w:r>
        </w:p>
      </w:tc>
      <w:tc>
        <w:tcPr>
          <w:tcW w:w="3213" w:type="dxa"/>
          <w:gridSpan w:val="2"/>
          <w:vAlign w:val="center"/>
        </w:tcPr>
        <w:p w14:paraId="50061E70" w14:textId="77777777" w:rsidR="006D7E75" w:rsidRDefault="006D7E75" w:rsidP="006D7E75">
          <w:pPr>
            <w:pStyle w:val="TableParagraph"/>
            <w:ind w:left="104"/>
            <w:rPr>
              <w:sz w:val="18"/>
            </w:rPr>
          </w:pPr>
          <w:r>
            <w:rPr>
              <w:sz w:val="18"/>
            </w:rPr>
            <w:t>Level #1</w:t>
          </w:r>
        </w:p>
      </w:tc>
    </w:tr>
    <w:tr w:rsidR="006D7E75" w14:paraId="0C94F1AB" w14:textId="77777777" w:rsidTr="00896D19">
      <w:trPr>
        <w:trHeight w:val="203"/>
      </w:trPr>
      <w:tc>
        <w:tcPr>
          <w:tcW w:w="6816" w:type="dxa"/>
          <w:gridSpan w:val="5"/>
        </w:tcPr>
        <w:p w14:paraId="15323CBC" w14:textId="48ED8DC0" w:rsidR="006D7E75" w:rsidRDefault="006D7E75" w:rsidP="006D7E75">
          <w:pPr>
            <w:pStyle w:val="TableParagraph"/>
            <w:spacing w:line="183" w:lineRule="exact"/>
            <w:ind w:left="107"/>
            <w:rPr>
              <w:sz w:val="18"/>
            </w:rPr>
          </w:pPr>
          <w:r>
            <w:rPr>
              <w:sz w:val="18"/>
            </w:rPr>
            <w:t xml:space="preserve">Title: </w:t>
          </w:r>
          <w:r>
            <w:rPr>
              <w:sz w:val="18"/>
            </w:rPr>
            <w:t>Policies &amp; Procedures</w:t>
          </w:r>
          <w:r>
            <w:rPr>
              <w:sz w:val="18"/>
            </w:rPr>
            <w:t xml:space="preserve"> for Grants &amp; Sponsored Programs</w:t>
          </w:r>
        </w:p>
      </w:tc>
      <w:tc>
        <w:tcPr>
          <w:tcW w:w="3213" w:type="dxa"/>
          <w:gridSpan w:val="2"/>
        </w:tcPr>
        <w:p w14:paraId="4350C4A6" w14:textId="77777777" w:rsidR="006D7E75" w:rsidRDefault="006D7E75" w:rsidP="006D7E75">
          <w:pPr>
            <w:pStyle w:val="TableParagraph"/>
            <w:spacing w:line="183" w:lineRule="exact"/>
            <w:ind w:left="104"/>
            <w:rPr>
              <w:sz w:val="18"/>
            </w:rPr>
          </w:pPr>
          <w:r>
            <w:rPr>
              <w:sz w:val="18"/>
            </w:rPr>
            <w:t xml:space="preserve">Implementation Date: </w:t>
          </w:r>
        </w:p>
      </w:tc>
    </w:tr>
    <w:tr w:rsidR="006D7E75" w14:paraId="6F0BE1DC" w14:textId="77777777" w:rsidTr="00896D19">
      <w:trPr>
        <w:trHeight w:val="203"/>
      </w:trPr>
      <w:tc>
        <w:tcPr>
          <w:tcW w:w="3753" w:type="dxa"/>
          <w:gridSpan w:val="2"/>
        </w:tcPr>
        <w:p w14:paraId="4907ED09" w14:textId="77777777" w:rsidR="006D7E75" w:rsidRDefault="006D7E75" w:rsidP="006D7E75">
          <w:pPr>
            <w:pStyle w:val="TableParagraph"/>
            <w:spacing w:line="183" w:lineRule="exact"/>
            <w:ind w:left="107"/>
            <w:rPr>
              <w:sz w:val="18"/>
            </w:rPr>
          </w:pPr>
          <w:r>
            <w:rPr>
              <w:sz w:val="18"/>
            </w:rPr>
            <w:t xml:space="preserve">Approved: </w:t>
          </w:r>
        </w:p>
      </w:tc>
      <w:tc>
        <w:tcPr>
          <w:tcW w:w="1533" w:type="dxa"/>
          <w:gridSpan w:val="2"/>
        </w:tcPr>
        <w:p w14:paraId="501D49C9" w14:textId="77777777" w:rsidR="006D7E75" w:rsidRDefault="006D7E75" w:rsidP="006D7E75">
          <w:pPr>
            <w:pStyle w:val="TableParagraph"/>
            <w:spacing w:line="183" w:lineRule="exact"/>
            <w:ind w:left="106"/>
            <w:rPr>
              <w:sz w:val="18"/>
            </w:rPr>
          </w:pPr>
          <w:r>
            <w:rPr>
              <w:sz w:val="18"/>
            </w:rPr>
            <w:t xml:space="preserve">Date: </w:t>
          </w:r>
        </w:p>
      </w:tc>
      <w:tc>
        <w:tcPr>
          <w:tcW w:w="4231" w:type="dxa"/>
          <w:gridSpan w:val="2"/>
          <w:shd w:val="clear" w:color="auto" w:fill="CCFFFF"/>
        </w:tcPr>
        <w:p w14:paraId="0EA483DB" w14:textId="77777777" w:rsidR="006D7E75" w:rsidRDefault="006D7E75" w:rsidP="006D7E75">
          <w:pPr>
            <w:pStyle w:val="TableParagraph"/>
            <w:spacing w:line="182" w:lineRule="exact"/>
            <w:ind w:left="105"/>
            <w:rPr>
              <w:sz w:val="16"/>
            </w:rPr>
          </w:pPr>
          <w:r>
            <w:rPr>
              <w:sz w:val="16"/>
            </w:rPr>
            <w:t>Check here if policy should appear in student handbook:</w:t>
          </w:r>
        </w:p>
      </w:tc>
      <w:tc>
        <w:tcPr>
          <w:tcW w:w="512" w:type="dxa"/>
          <w:shd w:val="clear" w:color="auto" w:fill="CCFFFF"/>
        </w:tcPr>
        <w:p w14:paraId="5863283F" w14:textId="77777777" w:rsidR="006D7E75" w:rsidRDefault="006D7E75" w:rsidP="006D7E75">
          <w:pPr>
            <w:pStyle w:val="TableParagraph"/>
            <w:spacing w:line="240" w:lineRule="auto"/>
            <w:ind w:left="0"/>
            <w:rPr>
              <w:rFonts w:ascii="Times New Roman"/>
              <w:sz w:val="14"/>
            </w:rPr>
          </w:pPr>
        </w:p>
      </w:tc>
    </w:tr>
  </w:tbl>
  <w:p w14:paraId="797762C8" w14:textId="3F8EF231" w:rsidR="006D7E75" w:rsidRDefault="006D7E75" w:rsidP="006D7E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2540B" w14:textId="77777777" w:rsidR="00C324CA" w:rsidRDefault="00C324CA" w:rsidP="00B0215A">
      <w:pPr>
        <w:spacing w:after="0" w:line="240" w:lineRule="auto"/>
      </w:pPr>
      <w:r>
        <w:separator/>
      </w:r>
    </w:p>
  </w:footnote>
  <w:footnote w:type="continuationSeparator" w:id="0">
    <w:p w14:paraId="73D33CA0" w14:textId="77777777" w:rsidR="00C324CA" w:rsidRDefault="00C324CA" w:rsidP="00B021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A7F3F" w14:textId="33BF9CF5" w:rsidR="0020782B" w:rsidRDefault="0020782B" w:rsidP="0020782B">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7B19FFA2" wp14:editId="2F70F0F3">
              <wp:simplePos x="0" y="0"/>
              <wp:positionH relativeFrom="page">
                <wp:posOffset>5166995</wp:posOffset>
              </wp:positionH>
              <wp:positionV relativeFrom="page">
                <wp:posOffset>446405</wp:posOffset>
              </wp:positionV>
              <wp:extent cx="1707515" cy="153670"/>
              <wp:effectExtent l="4445" t="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751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B8BE7" w14:textId="77777777" w:rsidR="0020782B" w:rsidRPr="00277BE2" w:rsidRDefault="0020782B" w:rsidP="0020782B">
                          <w:pPr>
                            <w:spacing w:before="14"/>
                            <w:ind w:left="20"/>
                            <w:rPr>
                              <w:rFonts w:ascii="Arial" w:hAnsi="Arial" w:cs="Arial"/>
                              <w:sz w:val="18"/>
                            </w:rPr>
                          </w:pPr>
                          <w:r w:rsidRPr="00277BE2">
                            <w:rPr>
                              <w:rFonts w:ascii="Arial" w:hAnsi="Arial" w:cs="Arial"/>
                              <w:sz w:val="18"/>
                            </w:rPr>
                            <w:t>NTC Policy Management System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19FFA2" id="_x0000_t202" coordsize="21600,21600" o:spt="202" path="m,l,21600r21600,l21600,xe">
              <v:stroke joinstyle="miter"/>
              <v:path gradientshapeok="t" o:connecttype="rect"/>
            </v:shapetype>
            <v:shape id="Text Box 1" o:spid="_x0000_s1026" type="#_x0000_t202" style="position:absolute;margin-left:406.85pt;margin-top:35.15pt;width:134.45pt;height:12.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" filled="f" stroked="f">
              <v:textbox inset="0,0,0,0">
                <w:txbxContent>
                  <w:p w14:paraId="3E4B8BE7" w14:textId="77777777" w:rsidR="0020782B" w:rsidRPr="00277BE2" w:rsidRDefault="0020782B" w:rsidP="0020782B">
                    <w:pPr>
                      <w:spacing w:before="14"/>
                      <w:ind w:left="20"/>
                      <w:rPr>
                        <w:rFonts w:ascii="Arial" w:hAnsi="Arial" w:cs="Arial"/>
                        <w:sz w:val="18"/>
                      </w:rPr>
                    </w:pPr>
                    <w:r w:rsidRPr="00277BE2">
                      <w:rPr>
                        <w:rFonts w:ascii="Arial" w:hAnsi="Arial" w:cs="Arial"/>
                        <w:sz w:val="18"/>
                      </w:rPr>
                      <w:t>NTC Policy Management System</w:t>
                    </w:r>
                  </w:p>
                </w:txbxContent>
              </v:textbox>
              <w10:wrap anchorx="page" anchory="page"/>
            </v:shape>
          </w:pict>
        </mc:Fallback>
      </mc:AlternateContent>
    </w:r>
  </w:p>
  <w:p w14:paraId="3E7073DF" w14:textId="77777777" w:rsidR="0020782B" w:rsidRDefault="0020782B" w:rsidP="0020782B">
    <w:pPr>
      <w:pStyle w:val="Header"/>
    </w:pPr>
  </w:p>
  <w:p w14:paraId="064F4058" w14:textId="51689241" w:rsidR="0020782B" w:rsidRDefault="002078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76E28"/>
    <w:multiLevelType w:val="hybridMultilevel"/>
    <w:tmpl w:val="98E29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90E60"/>
    <w:multiLevelType w:val="hybridMultilevel"/>
    <w:tmpl w:val="D5A22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E5AB2"/>
    <w:multiLevelType w:val="hybridMultilevel"/>
    <w:tmpl w:val="99225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BA15F9"/>
    <w:multiLevelType w:val="hybridMultilevel"/>
    <w:tmpl w:val="9800E6A4"/>
    <w:lvl w:ilvl="0" w:tplc="147AD37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727424"/>
    <w:multiLevelType w:val="hybridMultilevel"/>
    <w:tmpl w:val="37C62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7E034E"/>
    <w:multiLevelType w:val="hybridMultilevel"/>
    <w:tmpl w:val="FC1099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1C7292"/>
    <w:multiLevelType w:val="hybridMultilevel"/>
    <w:tmpl w:val="FC1099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B52D7D"/>
    <w:multiLevelType w:val="hybridMultilevel"/>
    <w:tmpl w:val="6212DB20"/>
    <w:lvl w:ilvl="0" w:tplc="BA2CD56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FB5FB0"/>
    <w:multiLevelType w:val="hybridMultilevel"/>
    <w:tmpl w:val="72242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1D0152"/>
    <w:multiLevelType w:val="hybridMultilevel"/>
    <w:tmpl w:val="322637EC"/>
    <w:lvl w:ilvl="0" w:tplc="EC4CDE6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035B6F"/>
    <w:multiLevelType w:val="hybridMultilevel"/>
    <w:tmpl w:val="055256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3948AE"/>
    <w:multiLevelType w:val="hybridMultilevel"/>
    <w:tmpl w:val="E552F9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45489E"/>
    <w:multiLevelType w:val="hybridMultilevel"/>
    <w:tmpl w:val="446C66B4"/>
    <w:lvl w:ilvl="0" w:tplc="D4B4A422">
      <w:numFmt w:val="bullet"/>
      <w:lvlText w:val="•"/>
      <w:lvlJc w:val="left"/>
      <w:pPr>
        <w:ind w:left="792" w:hanging="360"/>
      </w:pPr>
      <w:rPr>
        <w:rFonts w:ascii="Arial" w:eastAsiaTheme="minorHAnsi" w:hAnsi="Arial" w:cs="Aria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 w15:restartNumberingAfterBreak="0">
    <w:nsid w:val="64DE6FEE"/>
    <w:multiLevelType w:val="hybridMultilevel"/>
    <w:tmpl w:val="8F38E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52210D"/>
    <w:multiLevelType w:val="hybridMultilevel"/>
    <w:tmpl w:val="5E16FA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5E7810"/>
    <w:multiLevelType w:val="hybridMultilevel"/>
    <w:tmpl w:val="56D0C4F2"/>
    <w:lvl w:ilvl="0" w:tplc="1DC6A66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15360F"/>
    <w:multiLevelType w:val="hybridMultilevel"/>
    <w:tmpl w:val="AA2287F8"/>
    <w:lvl w:ilvl="0" w:tplc="5218F24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8"/>
  </w:num>
  <w:num w:numId="4">
    <w:abstractNumId w:val="7"/>
  </w:num>
  <w:num w:numId="5">
    <w:abstractNumId w:val="0"/>
  </w:num>
  <w:num w:numId="6">
    <w:abstractNumId w:val="16"/>
  </w:num>
  <w:num w:numId="7">
    <w:abstractNumId w:val="11"/>
  </w:num>
  <w:num w:numId="8">
    <w:abstractNumId w:val="14"/>
  </w:num>
  <w:num w:numId="9">
    <w:abstractNumId w:val="3"/>
  </w:num>
  <w:num w:numId="10">
    <w:abstractNumId w:val="4"/>
  </w:num>
  <w:num w:numId="11">
    <w:abstractNumId w:val="5"/>
  </w:num>
  <w:num w:numId="12">
    <w:abstractNumId w:val="6"/>
  </w:num>
  <w:num w:numId="13">
    <w:abstractNumId w:val="10"/>
  </w:num>
  <w:num w:numId="14">
    <w:abstractNumId w:val="15"/>
  </w:num>
  <w:num w:numId="15">
    <w:abstractNumId w:val="9"/>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09B"/>
    <w:rsid w:val="0000672F"/>
    <w:rsid w:val="000D609B"/>
    <w:rsid w:val="00144B1C"/>
    <w:rsid w:val="00175179"/>
    <w:rsid w:val="00185DB2"/>
    <w:rsid w:val="001C09C8"/>
    <w:rsid w:val="0020782B"/>
    <w:rsid w:val="00214385"/>
    <w:rsid w:val="00292645"/>
    <w:rsid w:val="002A6D85"/>
    <w:rsid w:val="002B73DA"/>
    <w:rsid w:val="0030358C"/>
    <w:rsid w:val="00376F34"/>
    <w:rsid w:val="004251B6"/>
    <w:rsid w:val="00444661"/>
    <w:rsid w:val="004861EF"/>
    <w:rsid w:val="004C7929"/>
    <w:rsid w:val="004D6C81"/>
    <w:rsid w:val="004E3EDD"/>
    <w:rsid w:val="00564D56"/>
    <w:rsid w:val="00571383"/>
    <w:rsid w:val="005C756F"/>
    <w:rsid w:val="0062041A"/>
    <w:rsid w:val="00621700"/>
    <w:rsid w:val="00664456"/>
    <w:rsid w:val="00694179"/>
    <w:rsid w:val="006B18BD"/>
    <w:rsid w:val="006B48CF"/>
    <w:rsid w:val="006C265A"/>
    <w:rsid w:val="006D7E75"/>
    <w:rsid w:val="00717B15"/>
    <w:rsid w:val="00722C80"/>
    <w:rsid w:val="0072528A"/>
    <w:rsid w:val="00815A92"/>
    <w:rsid w:val="00833B64"/>
    <w:rsid w:val="008A243A"/>
    <w:rsid w:val="008A3344"/>
    <w:rsid w:val="008B7226"/>
    <w:rsid w:val="008E1833"/>
    <w:rsid w:val="00945E42"/>
    <w:rsid w:val="00957B75"/>
    <w:rsid w:val="00977417"/>
    <w:rsid w:val="009B4A33"/>
    <w:rsid w:val="00A55C9D"/>
    <w:rsid w:val="00A900FC"/>
    <w:rsid w:val="00AB686D"/>
    <w:rsid w:val="00B0215A"/>
    <w:rsid w:val="00B41110"/>
    <w:rsid w:val="00B614C4"/>
    <w:rsid w:val="00B833C0"/>
    <w:rsid w:val="00C06DC6"/>
    <w:rsid w:val="00C311C0"/>
    <w:rsid w:val="00C324CA"/>
    <w:rsid w:val="00CF4352"/>
    <w:rsid w:val="00D05DE0"/>
    <w:rsid w:val="00D542C9"/>
    <w:rsid w:val="00D82A2B"/>
    <w:rsid w:val="00DF0675"/>
    <w:rsid w:val="00E339BD"/>
    <w:rsid w:val="00E7188D"/>
    <w:rsid w:val="00E729CA"/>
    <w:rsid w:val="00E82312"/>
    <w:rsid w:val="00E90353"/>
    <w:rsid w:val="00EA6719"/>
    <w:rsid w:val="00F07024"/>
    <w:rsid w:val="00F369F9"/>
    <w:rsid w:val="00F54E00"/>
    <w:rsid w:val="00FE7568"/>
    <w:rsid w:val="00FF4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21C1A3"/>
  <w15:docId w15:val="{2AAA3D7E-A8E9-4E9C-8035-46043EE2C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D609B"/>
    <w:pPr>
      <w:autoSpaceDE w:val="0"/>
      <w:autoSpaceDN w:val="0"/>
      <w:adjustRightInd w:val="0"/>
      <w:spacing w:after="0" w:line="240" w:lineRule="auto"/>
    </w:pPr>
    <w:rPr>
      <w:rFonts w:ascii="Book Antiqua" w:hAnsi="Book Antiqua" w:cs="Book Antiqua"/>
      <w:color w:val="000000"/>
      <w:sz w:val="24"/>
      <w:szCs w:val="24"/>
    </w:rPr>
  </w:style>
  <w:style w:type="paragraph" w:styleId="Header">
    <w:name w:val="header"/>
    <w:basedOn w:val="Normal"/>
    <w:link w:val="HeaderChar"/>
    <w:uiPriority w:val="99"/>
    <w:unhideWhenUsed/>
    <w:rsid w:val="00B021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215A"/>
  </w:style>
  <w:style w:type="paragraph" w:styleId="Footer">
    <w:name w:val="footer"/>
    <w:basedOn w:val="Normal"/>
    <w:link w:val="FooterChar"/>
    <w:uiPriority w:val="99"/>
    <w:unhideWhenUsed/>
    <w:rsid w:val="00B021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15A"/>
  </w:style>
  <w:style w:type="paragraph" w:styleId="ListParagraph">
    <w:name w:val="List Paragraph"/>
    <w:basedOn w:val="Normal"/>
    <w:uiPriority w:val="34"/>
    <w:qFormat/>
    <w:rsid w:val="00444661"/>
    <w:pPr>
      <w:spacing w:after="0" w:line="240" w:lineRule="auto"/>
      <w:ind w:left="720"/>
      <w:contextualSpacing/>
    </w:pPr>
    <w:rPr>
      <w:rFonts w:ascii="Times New Roman" w:hAnsi="Times New Roman"/>
    </w:rPr>
  </w:style>
  <w:style w:type="paragraph" w:styleId="BodyText">
    <w:name w:val="Body Text"/>
    <w:basedOn w:val="Normal"/>
    <w:link w:val="BodyTextChar"/>
    <w:uiPriority w:val="1"/>
    <w:qFormat/>
    <w:rsid w:val="0020782B"/>
    <w:pPr>
      <w:widowControl w:val="0"/>
      <w:autoSpaceDE w:val="0"/>
      <w:autoSpaceDN w:val="0"/>
      <w:spacing w:after="0" w:line="240" w:lineRule="auto"/>
    </w:pPr>
    <w:rPr>
      <w:rFonts w:ascii="Arial" w:eastAsia="Arial" w:hAnsi="Arial" w:cs="Arial"/>
      <w:lang w:bidi="en-US"/>
    </w:rPr>
  </w:style>
  <w:style w:type="character" w:customStyle="1" w:styleId="BodyTextChar">
    <w:name w:val="Body Text Char"/>
    <w:basedOn w:val="DefaultParagraphFont"/>
    <w:link w:val="BodyText"/>
    <w:uiPriority w:val="1"/>
    <w:rsid w:val="0020782B"/>
    <w:rPr>
      <w:rFonts w:ascii="Arial" w:eastAsia="Arial" w:hAnsi="Arial" w:cs="Arial"/>
      <w:lang w:bidi="en-US"/>
    </w:rPr>
  </w:style>
  <w:style w:type="paragraph" w:customStyle="1" w:styleId="TableParagraph">
    <w:name w:val="Table Paragraph"/>
    <w:basedOn w:val="Normal"/>
    <w:uiPriority w:val="1"/>
    <w:qFormat/>
    <w:rsid w:val="006D7E75"/>
    <w:pPr>
      <w:widowControl w:val="0"/>
      <w:autoSpaceDE w:val="0"/>
      <w:autoSpaceDN w:val="0"/>
      <w:spacing w:after="0" w:line="173" w:lineRule="exact"/>
      <w:ind w:left="78"/>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itehouse.gov/omb/grants_circulars" TargetMode="External"/><Relationship Id="rId13" Type="http://schemas.openxmlformats.org/officeDocument/2006/relationships/hyperlink" Target="http://www.mnscu.edu/board/policy/index.ht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cfr.gov/cgi-bin/text-idx?SID=ed90f54836feb6a994f657188eb05e33&amp;node=2:1.1.2.2.1&amp;rgn=div5"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ecfr.gov/cgi-bin/text-idx?SID=ed90f54836feb6a994f657188eb05e33&amp;node=2:1.1.2.2.1&amp;rgn=div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hitehouse.gov/sites/default/files/omb/assets/omb/circulars/a110/2cfr215-0.pdf" TargetMode="External"/><Relationship Id="rId5" Type="http://schemas.openxmlformats.org/officeDocument/2006/relationships/webSettings" Target="webSettings.xml"/><Relationship Id="rId15" Type="http://schemas.openxmlformats.org/officeDocument/2006/relationships/hyperlink" Target="http://www.ecfr.gov/cgi-bin/text-idx?SID=ed90f54836feb6a994f657188eb05e33&amp;node=2:1.1.2.2.1&amp;rgn=div5" TargetMode="External"/><Relationship Id="rId10" Type="http://schemas.openxmlformats.org/officeDocument/2006/relationships/hyperlink" Target="http://www.nsf.gov/pubs/policydocs/pappguide/nsf15001/gpg_index.js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cfr.gov/cgi-bin/text-idx?SID=ed90f54836feb6a994f657188eb05e33&amp;node=2:1.1.2.2.1&amp;rgn=div5" TargetMode="External"/><Relationship Id="rId14" Type="http://schemas.openxmlformats.org/officeDocument/2006/relationships/hyperlink" Target="http://www.ecfr.gov/cgi-bin/text-idx?SID=ed90f54836feb6a994f657188eb05e33&amp;node=2:1.1.2.2.1&amp;rgn=div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FD987-A7F9-45BE-BADF-20ACA8A75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2325</Words>
  <Characters>13255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BSU</Company>
  <LinksUpToDate>false</LinksUpToDate>
  <CharactersWithSpaces>15549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BSU</dc:creator>
  <cp:lastModifiedBy>Dahlke, Russell L</cp:lastModifiedBy>
  <cp:revision>5</cp:revision>
  <cp:lastPrinted>2014-08-05T14:06:00Z</cp:lastPrinted>
  <dcterms:created xsi:type="dcterms:W3CDTF">2019-12-18T19:53:00Z</dcterms:created>
  <dcterms:modified xsi:type="dcterms:W3CDTF">2020-01-31T20:47:00Z</dcterms:modified>
</cp:coreProperties>
</file>